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0"/>
          <w:szCs w:val="30"/>
        </w:rPr>
        <w:t xml:space="preserve">WHITFIELD CARTER LLP</w:t>
      </w:r>
    </w:p>
    <w:p>
      <w:pPr>
        <w:spacing w:after="40"/>
        <w:jc w:val="center"/>
      </w:pPr>
      <w:r>
        <w:rPr>
          <w:i/>
          <w:iCs/>
          <w:color w:val="595959"/>
          <w:sz w:val="18"/>
          <w:szCs w:val="18"/>
        </w:rPr>
        <w:t xml:space="preserve">Solicitors</w:t>
      </w:r>
    </w:p>
    <w:p>
      <w:pPr>
        <w:pBdr>
          <w:bottom w:val="single" w:color="1F3864" w:sz="6" w:space="4"/>
        </w:pBdr>
        <w:spacing w:after="160"/>
        <w:jc w:val="center"/>
      </w:pPr>
      <w:r>
        <w:rPr>
          <w:color w:val="595959"/>
          <w:sz w:val="15"/>
          <w:szCs w:val="15"/>
        </w:rPr>
        <w:t xml:space="preserve">22 Bishopsgate, London EC2N 4BQ  |  DX 138760 Cheapside  |  +44 (0)20 7946 0922  |  www.whitfieldcarter.com</w:t>
      </w:r>
    </w:p>
    <w:p>
      <w:pPr>
        <w:spacing w:after="80"/>
      </w:pPr>
      <w:r>
        <w:rPr>
          <w:i/>
          <w:iCs/>
          <w:sz w:val="21"/>
          <w:szCs w:val="21"/>
        </w:rPr>
        <w:t xml:space="preserve">Strictly private and confidential</w:t>
      </w:r>
    </w:p>
    <w:p>
      <w:pPr>
        <w:spacing w:after="120"/>
      </w:pPr>
      <w:r>
        <w:rPr>
          <w:sz w:val="20"/>
          <w:szCs w:val="20"/>
        </w:rPr>
        <w:t xml:space="preserve">Mr Gordon Sutherland
Managing Director
Sutherland Logistics Limited
Sutherland House, Hartford Distribution Park
Coleshill, Birmingham B46 1AA</w:t>
      </w:r>
    </w:p>
    <w:p>
      <w:pPr>
        <w:spacing w:after="160"/>
      </w:pPr>
      <w:r>
        <w:rPr>
          <w:i/>
          <w:iCs/>
          <w:sz w:val="19"/>
          <w:szCs w:val="19"/>
        </w:rPr>
        <w:t xml:space="preserve">By email: gordon.sutherland@sutherlandlogistics.co.uk</w:t>
      </w:r>
    </w:p>
    <w:p>
      <w:pPr>
        <w:spacing w:after="160"/>
      </w:pPr>
      <w:r>
        <w:rPr>
          <w:sz w:val="21"/>
          <w:szCs w:val="21"/>
        </w:rPr>
        <w:t xml:space="preserve">3 February 2026</w:t>
      </w:r>
    </w:p>
    <w:p>
      <w:pPr>
        <w:spacing w:after="120"/>
      </w:pPr>
      <w:r>
        <w:rPr>
          <w:sz w:val="21"/>
          <w:szCs w:val="21"/>
        </w:rPr>
        <w:t xml:space="preserve">Dear Gordon</w:t>
      </w:r>
    </w:p>
    <w:p>
      <w:pPr>
        <w:spacing w:after="160"/>
      </w:pPr>
      <w:r>
        <w:rPr>
          <w:b/>
          <w:bCs/>
        </w:rPr>
        <w:t xml:space="preserve">Project Juniper — proposed logistics services agreement with Wexbourne Retail Group Limited</w:t>
      </w:r>
    </w:p>
    <w:p>
      <w:pPr>
        <w:spacing w:after="160"/>
      </w:pPr>
      <w:r>
        <w:rPr>
          <w:sz w:val="21"/>
          <w:szCs w:val="21"/>
        </w:rPr>
        <w:t xml:space="preserve">Thank you for instructing Whitfield Carter LLP in connection with the proposed three-party-pillar logistics arrangement under which Sutherland Logistics Limited (the "Company") will provide national warehousing, fulfilment and distribution services to Wexbourne Retail Group Limited ("Wexbourne") following Wexbourne's recent competitive tender. This letter, together with our enclosed standard terms of business, sets out the basis on which we will act for you.</w:t>
      </w:r>
    </w:p>
    <w:p>
      <w:pPr>
        <w:spacing w:after="160"/>
      </w:pPr>
      <w:r>
        <w:rPr>
          <w:b/>
          <w:bCs/>
        </w:rPr>
        <w:t xml:space="preserve">Scope of work. </w:t>
      </w:r>
      <w:r>
        <w:t xml:space="preserve">We will: (a) review the Wexbourne invitation to tender and draft heads of terms; (b) prepare and negotiate the Logistics Services Agreement, including the Statement of Work, Service Level Agreement and charging schedule; (c) advise on the liability, indemnity and insurance provisions, and on the potential application of TUPE on commencement and exit; and (d) advise on data protection compliance. Our advice is limited to the laws of England and Wales.</w:t>
      </w:r>
    </w:p>
    <w:p>
      <w:pPr>
        <w:spacing w:after="160"/>
      </w:pPr>
      <w:r>
        <w:rPr>
          <w:b/>
          <w:bCs/>
        </w:rPr>
        <w:t xml:space="preserve">Team and supervision. </w:t>
      </w:r>
      <w:r>
        <w:t xml:space="preserve">I will have overall conduct of the matter as supervising partner. James Osei (Senior Associate) will lead the day-to-day drafting, supported by Elena Marchetti (Associate). You may contact any of us directly.</w:t>
      </w:r>
    </w:p>
    <w:p>
      <w:pPr>
        <w:spacing w:after="160"/>
      </w:pPr>
      <w:r>
        <w:rPr>
          <w:b/>
          <w:bCs/>
        </w:rPr>
        <w:t xml:space="preserve">Fees. </w:t>
      </w:r>
      <w:r>
        <w:t xml:space="preserve">Our charges are based on time spent at the following hourly rates (exclusive of VAT): Partner £620; Senior Associate £430; Associate £310. We estimate our fees for this matter, through to signature of the Logistics Services Agreement, in the region of £38,000 to £52,000 plus VAT and disbursements, depending on the extent of negotiation. We will notify you promptly if it appears our fees are likely to exceed this estimate.</w:t>
      </w:r>
    </w:p>
    <w:p>
      <w:pPr>
        <w:spacing w:after="160"/>
      </w:pPr>
      <w:r>
        <w:rPr>
          <w:b/>
          <w:bCs/>
        </w:rPr>
        <w:t xml:space="preserve">Billing. </w:t>
      </w:r>
      <w:r>
        <w:t xml:space="preserve">We will render interim invoices monthly. Our invoices are payable within 14 days. We will hold any monies on account in our client account in accordance with the SRA Accounts Rules.</w:t>
      </w:r>
    </w:p>
    <w:p>
      <w:pPr>
        <w:spacing w:after="160"/>
      </w:pPr>
      <w:r>
        <w:rPr>
          <w:b/>
          <w:bCs/>
        </w:rPr>
        <w:t xml:space="preserve">Confidentiality and conflicts. </w:t>
      </w:r>
      <w:r>
        <w:t xml:space="preserve">We have carried out a conflict check and are not aware of any conflict preventing us from acting. We will keep your affairs confidential, subject to our legal and regulatory obligations.</w:t>
      </w:r>
    </w:p>
    <w:p>
      <w:pPr>
        <w:spacing w:after="160"/>
      </w:pPr>
      <w:r>
        <w:rPr>
          <w:sz w:val="21"/>
          <w:szCs w:val="21"/>
        </w:rPr>
        <w:t xml:space="preserve">Please confirm your agreement to the terms of this letter and the enclosed terms of business by signing and returning the enclosed copy. We are delighted to be working with you on this matter.</w:t>
      </w:r>
    </w:p>
    <w:p>
      <w:pPr>
        <w:spacing w:after="240"/>
      </w:pPr>
      <w:r>
        <w:rPr>
          <w:sz w:val="21"/>
          <w:szCs w:val="21"/>
        </w:rPr>
        <w:t xml:space="preserve">Yours sincerely</w:t>
      </w:r>
    </w:p>
    <w:p>
      <w:pPr>
        <w:spacing w:after="0"/>
      </w:pPr>
      <w:r>
        <w:rPr>
          <w:b/>
          <w:bCs/>
        </w:rPr>
        <w:t xml:space="preserve">Sarah Whitfield</w:t>
      </w:r>
    </w:p>
    <w:p>
      <w:pPr>
        <w:spacing w:after="160"/>
      </w:pPr>
      <w:r>
        <w:rPr>
          <w:sz w:val="19"/>
          <w:szCs w:val="19"/>
        </w:rPr>
        <w:t xml:space="preserve">Partner | Whitfield Carter LLP
sarah.whitfield@whitfieldcarter.com | +44 (0)20 7946 0931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Whitfield Carter LLP</dc:creator>
  <cp:lastModifiedBy>Un-named</cp:lastModifiedBy>
  <cp:revision>1</cp:revision>
  <dcterms:created xsi:type="dcterms:W3CDTF">2026-06-26T10:15:45.385Z</dcterms:created>
  <dcterms:modified xsi:type="dcterms:W3CDTF">2026-06-26T10:15:45.386Z</dcterms:modified>
</cp:coreProperties>
</file>

<file path=docProps/custom.xml><?xml version="1.0" encoding="utf-8"?>
<Properties xmlns="http://schemas.openxmlformats.org/officeDocument/2006/custom-properties" xmlns:vt="http://schemas.openxmlformats.org/officeDocument/2006/docPropsVTypes"/>
</file>