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b/>
          <w:bCs/>
          <w:sz w:val="20"/>
          <w:szCs w:val="20"/>
        </w:rPr>
        <w:t xml:space="preserve">DATED </w:t>
      </w:r>
      <w:del w:id="9001" w:author="Elena Marchetti (Whitfield Carter LLP)" w:date="2026-05-06T00:00:00Z">
        <w:r>
          <w:delText xml:space="preserve">[       ] April 2026</w:delText>
        </w:r>
      </w:del>
      <w:ins w:id="9002" w:author="Elena Marchetti (Whitfield Carter LLP)" w:date="2026-05-06T00:00:00Z">
        <w:r>
          <w:t xml:space="preserve">[ 26 ] June 2026</w:t>
        </w:r>
      </w:ins>
      <w:r>
        <w:rPr>
          <w:sz w:val="20"/>
          <w:szCs w:val="20"/>
        </w:rPr>
        <w:t xml:space="preserve"/>
      </w:r>
    </w:p>
    <w:p>
      <w:pPr>
        <w:spacing w:after="600"/>
        <w:jc w:val="center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SUTHERLAND LOGISTICS LIMITED</w:t>
      </w:r>
    </w:p>
    <w:p>
      <w:pPr>
        <w:spacing w:after="40"/>
        <w:jc w:val="center"/>
      </w:pPr>
      <w:r>
        <w:rPr>
          <w:sz w:val="20"/>
          <w:szCs w:val="20"/>
        </w:rPr>
        <w:t xml:space="preserve">(as Borrower)</w:t>
      </w:r>
    </w:p>
    <w:p>
      <w:pPr>
        <w:spacing w:after="40" w:before="120"/>
        <w:jc w:val="center"/>
      </w:pPr>
      <w:r>
        <w:rPr>
          <w:i/>
          <w:iCs/>
          <w:sz w:val="20"/>
          <w:szCs w:val="20"/>
        </w:rPr>
        <w:t xml:space="preserve">and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STERLING COMMERCIAL BANK PLC</w:t>
      </w:r>
    </w:p>
    <w:p>
      <w:pPr>
        <w:spacing w:after="600"/>
        <w:jc w:val="center"/>
      </w:pPr>
      <w:r>
        <w:rPr>
          <w:sz w:val="20"/>
          <w:szCs w:val="20"/>
        </w:rPr>
        <w:t xml:space="preserve">(as Lender)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AMENDMENT AND RESTATEMENT AGREEMENT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relating to a facilities agreement originally dated 14 March 2022</w:t>
      </w:r>
    </w:p>
    <w:p>
      <w:pPr>
        <w:spacing w:after="600"/>
        <w:jc w:val="center"/>
      </w:pPr>
      <w:r>
        <w:rPr>
          <w:b/>
          <w:bCs/>
          <w:color w:val="C00000"/>
          <w:sz w:val="18"/>
          <w:szCs w:val="18"/>
        </w:rPr>
        <w:t xml:space="preserve">COMPARISON: v2 (Ashworth Quinn mark-up)  →  v3 (agreed form)</w:t>
      </w:r>
    </w:p>
    <w:p>
      <w:pPr>
        <w:spacing w:after="0"/>
        <w:jc w:val="center"/>
      </w:pPr>
      <w:r>
        <w:rPr>
          <w:i/>
          <w:iCs/>
          <w:color w:val="808080"/>
          <w:sz w:val="16"/>
          <w:szCs w:val="16"/>
        </w:rPr>
        <w:t xml:space="preserve">Mark-up by Elena Marchetti (Whitfield Carter LLP), 2026-05-06. Changes shown against the previous draft.</w:t>
      </w:r>
    </w:p>
    <w:p>
      <w:r>
        <w:br w:type="page"/>
      </w:r>
    </w:p>
    <w:p>
      <w:pPr>
        <w:pStyle w:val="Heading1"/>
      </w:pPr>
      <w:r>
        <w:t xml:space="preserve">THIS AGREEMENT is dated [] 2026 and is made</w:t>
      </w:r>
    </w:p>
    <w:p>
      <w:pPr>
        <w:spacing w:after="80" w:line="276"/>
      </w:pPr>
      <w:r>
        <w:rPr>
          <w:b/>
          <w:bCs/>
        </w:rPr>
        <w:t xml:space="preserve">BETWEEN: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(1)	</w:t>
      </w:r>
      <w:r>
        <w:rPr>
          <w:b/>
          <w:bCs/>
        </w:rPr>
        <w:t xml:space="preserve">SUTHERLAND LOGISTICS LIMITED</w:t>
      </w:r>
      <w:r>
        <w:t xml:space="preserve">, a company incorporated in England and Wales with registered number 04127836 whose registered office is at Sutherland House, Brindley Park, Coventry CV6 5RX (the "Borrower"); and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(2)	</w:t>
      </w:r>
      <w:r>
        <w:rPr>
          <w:b/>
          <w:bCs/>
        </w:rPr>
        <w:t xml:space="preserve">STERLING COMMERCIAL BANK PLC</w:t>
      </w:r>
      <w:r>
        <w:t xml:space="preserve">, a company incorporated in England and Wales with registered number 02009823 (the "Lender").</w:t>
      </w:r>
    </w:p>
    <w:p>
      <w:pPr>
        <w:spacing w:after="60" w:before="120" w:line="276"/>
      </w:pPr>
      <w:r>
        <w:rPr>
          <w:b/>
          <w:bCs/>
        </w:rPr>
        <w:t xml:space="preserve">BACKGROUND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(A)	</w:t>
      </w:r>
      <w:r>
        <w:t xml:space="preserve">The Parties entered into a facilities agreement dated 14 March 2022 comprising Facility A of £18,000,000 and a revolving credit facility of £7,000,000.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(B)	</w:t>
      </w:r>
      <w:r>
        <w:t xml:space="preserve">The compliance certificate for the period ended 31 December 2025 disclosed breaches of the Leverage and Interest Cover covenants (the "Existing Defaults").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(C)	</w:t>
      </w:r>
      <w:r>
        <w:t xml:space="preserve">The Parties have agreed to amend and restate the Original Facilities Agreement, including a new super-senior Facility B of £3,500,000, on the terms below.</w:t>
      </w:r>
    </w:p>
    <w:p>
      <w:pPr>
        <w:spacing w:after="60" w:before="120" w:line="276"/>
      </w:pPr>
      <w:r>
        <w:rPr>
          <w:b/>
          <w:bCs/>
        </w:rPr>
        <w:t xml:space="preserve">IT IS AGREED as follows: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1.</w:t>
      </w:r>
      <w:r>
        <w:rPr>
          <w:b/>
          <w:bCs/>
        </w:rPr>
        <w:t xml:space="preserve">	DEFINITIONS AND INTERPRETATION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1.1	</w:t>
      </w:r>
      <w:r>
        <w:rPr>
          <w:b/>
          <w:bCs/>
        </w:rPr>
        <w:t xml:space="preserve">"Amendment Fee"</w:t>
      </w:r>
      <w:r>
        <w:t xml:space="preserve"> means the fee of </w:t>
      </w:r>
      <w:del w:id="1001" w:author="Elena Marchetti (Whitfield Carter LLP)" w:date="2026-05-06T00:00:00Z">
        <w:r>
          <w:delText xml:space="preserve">£325,000</w:delText>
        </w:r>
      </w:del>
      <w:ins w:id="1002" w:author="Elena Marchetti (Whitfield Carter LLP)" w:date="2026-05-06T00:00:00Z">
        <w:r>
          <w:t xml:space="preserve">£285,000</w:t>
        </w:r>
      </w:ins>
      <w:r>
        <w:t xml:space="preserve"> payable under Clause 8;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	</w:t>
      </w:r>
      <w:r>
        <w:rPr>
          <w:b/>
          <w:bCs/>
        </w:rPr>
        <w:t xml:space="preserve">"Longstop Date"</w:t>
      </w:r>
      <w:r>
        <w:t xml:space="preserve"> means </w:t>
      </w:r>
      <w:del w:id="1003" w:author="Elena Marchetti (Whitfield Carter LLP)" w:date="2026-05-06T00:00:00Z">
        <w:r>
          <w:delText xml:space="preserve">31 July 2026</w:delText>
        </w:r>
      </w:del>
      <w:ins w:id="1004" w:author="Elena Marchetti (Whitfield Carter LLP)" w:date="2026-05-06T00:00:00Z">
        <w:r>
          <w:t xml:space="preserve">31 July 2026</w:t>
        </w:r>
      </w:ins>
      <w:r>
        <w:t xml:space="preserve">;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	</w:t>
      </w:r>
      <w:r>
        <w:rPr>
          <w:b/>
          <w:bCs/>
        </w:rPr>
        <w:t xml:space="preserve">"Effective Date"</w:t>
      </w:r>
      <w:r>
        <w:t xml:space="preserve"> means the date on which the Lender confirms it has received all Conditions Precedent in satisfactory form;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1.2	</w:t>
      </w:r>
      <w:r>
        <w:t xml:space="preserve">Terms defined in the Amended Facilities Agreement have the same meaning here unless the context otherwise requires.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2.</w:t>
      </w:r>
      <w:r>
        <w:rPr>
          <w:b/>
          <w:bCs/>
        </w:rPr>
        <w:t xml:space="preserve">	CONDITIONS PRECEDENT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2.1	</w:t>
      </w:r>
      <w:r>
        <w:t xml:space="preserve">The amendments and waivers take effect on, and are conditional upon, the Effective Date.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2.2	</w:t>
      </w:r>
      <w:r>
        <w:t xml:space="preserve">If the Effective Date has not occurred by the Longstop Date, this Agreement lapses (save for the Surviving Provisions) and the Original Facilities Agreement continues, without prejudice to the Lender's rights.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3.</w:t>
      </w:r>
      <w:r>
        <w:rPr>
          <w:b/>
          <w:bCs/>
        </w:rPr>
        <w:t xml:space="preserve">	AMENDMENT AND RESTATEMENT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3.1	</w:t>
      </w:r>
      <w:r>
        <w:t xml:space="preserve">With effect from the Effective Date, the Original Facilities Agreement is amended and restated in the form of Schedule 1.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3.2	</w:t>
      </w:r>
      <w:r>
        <w:t xml:space="preserve">Except as amended, the Finance Documents remain in full force and effect; the amendments do not constitute a novation.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4.</w:t>
      </w:r>
      <w:r>
        <w:rPr>
          <w:b/>
          <w:bCs/>
        </w:rPr>
        <w:t xml:space="preserve">	FACILITY B (NEW MONEY)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4.1	</w:t>
      </w:r>
      <w:r>
        <w:t xml:space="preserve">The Lender makes available a super-senior term loan of £3,500,000 from the Effective Date.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4.2	</w:t>
      </w:r>
      <w:r>
        <w:t xml:space="preserve">Facility B ranks ahead of Facility A and the Revolving Facility on payment and enforcement.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5.</w:t>
      </w:r>
      <w:r>
        <w:rPr>
          <w:b/>
          <w:bCs/>
        </w:rPr>
        <w:t xml:space="preserve">	WAIVER OF EXISTING DEFAULTS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5.1	</w:t>
      </w:r>
      <w:r>
        <w:t xml:space="preserve">With effect from the Effective Date, the Lender waives the Existing Defaults only; no other Default is waived.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6.</w:t>
      </w:r>
      <w:r>
        <w:rPr>
          <w:b/>
          <w:bCs/>
        </w:rPr>
        <w:t xml:space="preserve">	PRICING AND FINANCIAL COVENANTS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6.1	The margin on Facility A shall be </w:t>
      </w:r>
      <w:del w:id="2001" w:author="Elena Marchetti (Whitfield Carter LLP)" w:date="2026-05-06T00:00:00Z">
        <w:r>
          <w:delText xml:space="preserve">4.50%</w:delText>
        </w:r>
      </w:del>
      <w:ins w:id="2002" w:author="Elena Marchetti (Whitfield Carter LLP)" w:date="2026-05-06T00:00:00Z">
        <w:r>
          <w:t xml:space="preserve">4.25%</w:t>
        </w:r>
      </w:ins>
      <w:r>
        <w:t xml:space="preserve"> per annum (cash), with a PIK toggle of +3.00% available from Q3 2026.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6.2	The margin on Facility B shall be </w:t>
      </w:r>
      <w:del w:id="2003" w:author="Elena Marchetti (Whitfield Carter LLP)" w:date="2026-05-06T00:00:00Z">
        <w:r>
          <w:delText xml:space="preserve">6.75%</w:delText>
        </w:r>
      </w:del>
      <w:ins w:id="2004" w:author="Elena Marchetti (Whitfield Carter LLP)" w:date="2026-05-06T00:00:00Z">
        <w:r>
          <w:t xml:space="preserve">6.50%</w:t>
        </w:r>
      </w:ins>
      <w:r>
        <w:t xml:space="preserve"> per annum, and the margin on the Revolving Facility shall be </w:t>
      </w:r>
      <w:del w:id="2005" w:author="Elena Marchetti (Whitfield Carter LLP)" w:date="2026-05-06T00:00:00Z">
        <w:r>
          <w:delText xml:space="preserve">4.25%</w:delText>
        </w:r>
      </w:del>
      <w:ins w:id="2006" w:author="Elena Marchetti (Whitfield Carter LLP)" w:date="2026-05-06T00:00:00Z">
        <w:r>
          <w:t xml:space="preserve">4.00%</w:t>
        </w:r>
      </w:ins>
      <w:r>
        <w:t xml:space="preserve"> per annum.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6.3	The Leverage covenant (Net Debt:EBITDA) shall be </w:t>
      </w:r>
      <w:del w:id="2007" w:author="Elena Marchetti (Whitfield Carter LLP)" w:date="2026-05-06T00:00:00Z">
        <w:r>
          <w:delText xml:space="preserve">3.25:1 stepping down to 2.75:1 by 31 December 2026</w:delText>
        </w:r>
      </w:del>
      <w:ins w:id="2008" w:author="Elena Marchetti (Whitfield Carter LLP)" w:date="2026-05-06T00:00:00Z">
        <w:r>
          <w:t xml:space="preserve">3.50:1 stepping down to 3.00:1 by 31 December 2026</w:t>
        </w:r>
      </w:ins>
      <w:r>
        <w:t xml:space="preserve">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6.4	The debt service cover ratio shall be </w:t>
      </w:r>
      <w:del w:id="2009" w:author="Elena Marchetti (Whitfield Carter LLP)" w:date="2026-05-06T00:00:00Z">
        <w:r>
          <w:delText xml:space="preserve">1.15:1 tested quarterly from 30 September 2026</w:delText>
        </w:r>
      </w:del>
      <w:ins w:id="2010" w:author="Elena Marchetti (Whitfield Carter LLP)" w:date="2026-05-06T00:00:00Z">
        <w:r>
          <w:t xml:space="preserve">1.10:1 tested quarterly from 30 September 2026</w:t>
        </w:r>
      </w:ins>
      <w:r>
        <w:t xml:space="preserve">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6.5	The Borrower shall maintain Minimum Liquidity of not less than </w:t>
      </w:r>
      <w:del w:id="2011" w:author="Elena Marchetti (Whitfield Carter LLP)" w:date="2026-05-06T00:00:00Z">
        <w:r>
          <w:delText xml:space="preserve">£1,750,000</w:delText>
        </w:r>
      </w:del>
      <w:ins w:id="2012" w:author="Elena Marchetti (Whitfield Carter LLP)" w:date="2026-05-06T00:00:00Z">
        <w:r>
          <w:t xml:space="preserve">£1,500,000</w:t>
        </w:r>
      </w:ins>
      <w:r>
        <w:t xml:space="preserve"> at all times, tested monthly.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7.</w:t>
      </w:r>
      <w:r>
        <w:rPr>
          <w:b/>
          <w:bCs/>
        </w:rPr>
        <w:t xml:space="preserve">	UNDERTAKINGS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7.1	</w:t>
      </w:r>
      <w:r>
        <w:t xml:space="preserve">The Borrower shall deliver monthly management accounts (within 20 Business Days), fortnightly 13-week cashflow forecasts and quarterly Compliance Certificates.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7.2	</w:t>
      </w:r>
      <w:r>
        <w:t xml:space="preserve">The Borrower shall make no Restricted Payment, and incur no Financial Indebtedness outside the ordinary course, until Minimum Liquidity has been met for two consecutive Quarter Dates.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8.</w:t>
      </w:r>
      <w:r>
        <w:rPr>
          <w:b/>
          <w:bCs/>
        </w:rPr>
        <w:t xml:space="preserve">	FEES, COSTS AND EXPENSES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8.1	The Borrower shall pay the Amendment Fee of </w:t>
      </w:r>
      <w:del w:id="3001" w:author="Elena Marchetti (Whitfield Carter LLP)" w:date="2026-05-06T00:00:00Z">
        <w:r>
          <w:delText xml:space="preserve">£325,000</w:delText>
        </w:r>
      </w:del>
      <w:ins w:id="3002" w:author="Elena Marchetti (Whitfield Carter LLP)" w:date="2026-05-06T00:00:00Z">
        <w:r>
          <w:t xml:space="preserve">£285,000</w:t>
        </w:r>
      </w:ins>
      <w:r>
        <w:t xml:space="preserve"> on the Effective Date.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8.2	The Borrower shall pay an exit fee of </w:t>
      </w:r>
      <w:del w:id="3003" w:author="Elena Marchetti (Whitfield Carter LLP)" w:date="2026-05-06T00:00:00Z">
        <w:r>
          <w:delText xml:space="preserve">1.25%</w:delText>
        </w:r>
      </w:del>
      <w:ins w:id="3004" w:author="Elena Marchetti (Whitfield Carter LLP)" w:date="2026-05-06T00:00:00Z">
        <w:r>
          <w:t xml:space="preserve">1.00%</w:t>
        </w:r>
      </w:ins>
      <w:r>
        <w:t xml:space="preserve"> of Facility B on its repayment or final maturity.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8.3	</w:t>
      </w:r>
      <w:r>
        <w:t xml:space="preserve">The Borrower shall pay the Lender's reasonable legal and reporting-accountant costs within three Business Days of demand.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9.</w:t>
      </w:r>
      <w:r>
        <w:rPr>
          <w:b/>
          <w:bCs/>
        </w:rPr>
        <w:t xml:space="preserve">	CONFIRMATION OF SECURITY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9.1	</w:t>
      </w:r>
      <w:r>
        <w:t xml:space="preserve">The Borrower confirms the Security continues and extends to its obligations as amended (including Facility B), and shall enter into the confirmatory debenture and other Security Documents.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10.</w:t>
      </w:r>
      <w:r>
        <w:rPr>
          <w:b/>
          <w:bCs/>
        </w:rPr>
        <w:t xml:space="preserve">	DESIGNATION AND FURTHER ASSURANCE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10.1	</w:t>
      </w:r>
      <w:r>
        <w:t xml:space="preserve">This Agreement is designated a Finance Document. The Borrower shall do all acts and execute all documents reasonably required to give it effect.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11.</w:t>
      </w:r>
      <w:r>
        <w:rPr>
          <w:b/>
          <w:bCs/>
        </w:rPr>
        <w:t xml:space="preserve">	COUNTERPARTS AND THIRD PARTIES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11.1	</w:t>
      </w:r>
      <w:r>
        <w:t xml:space="preserve">This Agreement may be executed in counterparts. A person who is not a Party has no rights under the Contracts (Rights of Third Parties) Act 1999.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12.</w:t>
      </w:r>
      <w:r>
        <w:rPr>
          <w:b/>
          <w:bCs/>
        </w:rPr>
        <w:t xml:space="preserve">	GOVERNING LAW AND JURISDICTION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12.1	</w:t>
      </w:r>
      <w:r>
        <w:t xml:space="preserve">This Agreement and any non-contractual obligations are governed by English law; the courts of England and Wales have exclusive jurisdiction.</w:t>
      </w:r>
    </w:p>
    <w:p>
      <w:pPr>
        <w:spacing w:after="120" w:before="160" w:line="276"/>
      </w:pPr>
      <w:r>
        <w:rPr>
          <w:i/>
          <w:iCs/>
        </w:rPr>
        <w:t xml:space="preserve">This Agreement has been entered into and delivered as a deed.</w:t>
      </w:r>
    </w:p>
    <w:p>
      <w:r>
        <w:br w:type="page"/>
      </w:r>
    </w:p>
    <w:p>
      <w:pPr>
        <w:pStyle w:val="Heading1"/>
      </w:pPr>
      <w:r>
        <w:t xml:space="preserve">SCHEDULE — Summary of Key Amendments (for 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63"/>
        <w:gridCol w:w="3563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Original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Amended (this draft)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Final maturity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31 March 2027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30 June 2029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Facility A margin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2.75%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4.25%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Facility B margin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6.50%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New money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£3,500,000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Leverage covenant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2.75:1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3.50:1 stepping down to 3.00:1 by 31 December 2026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DSCR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3.00:1 (int. cover)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1.10:1 tested quarterly from 30 September 2026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Minimum liquidity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None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£1,500,000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Amendment fee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£285,000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Exit fee (Facility B)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1.00%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Longstop date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31 July 2026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  <w:spacing w:after="0" w:before="120"/>
    </w:pPr>
    <w:r>
      <w:rPr>
        <w:color w:val="808080"/>
        <w:sz w:val="15"/>
        <w:szCs w:val="15"/>
      </w:rPr>
      <w:t xml:space="preserve">Project Northwind — Amendment and Restatement Agreement — v3 (redline vs v2) — Subject to Contract</w:t>
    </w:r>
    <w:r>
      <w:rPr>
        <w:color w:val="808080"/>
        <w:sz w:val="15"/>
        <w:szCs w:val="15"/>
      </w:rPr>
      <w:t xml:space="preserve">	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2026-06-26T12:43:57.163Z</dcterms:created>
  <dcterms:modified xsi:type="dcterms:W3CDTF">2026-06-26T12:43:57.163Z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