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PROJECT NORTHWIND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COMPLETION CHECKLIST / CONDITIONS PRECEDENT TRACKER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Amendment and restatement of Sutherland Logistics Limited senior facilities — Effective Date target: 26 June 2026</w:t>
      </w:r>
    </w:p>
    <w:p>
      <w:pPr>
        <w:spacing w:after="120" w:line="276"/>
      </w:pPr>
      <w:r>
        <w:rPr>
          <w:sz w:val="18"/>
          <w:szCs w:val="18"/>
        </w:rPr>
        <w:t xml:space="preserve">Status key: ✔ = received/satisfactory; ✗ = outstanding; N/A = not applicable; W = waived/condition subsequent. Responsibility: WC = Whitfield Carter LLP; Co = Company; AQ = Ashworth Quinn LLP; Bank = Sterling Commercial Bank plc; Marlow = Marlow Tax &amp; Advisory Ltd.</w:t>
      </w:r>
    </w:p>
    <w:p>
      <w:pPr>
        <w:pStyle w:val="Heading2"/>
      </w:pPr>
      <w:r>
        <w:t xml:space="preserve">Part A — Documents to be executed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26"/>
        <w:gridCol w:w="17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A1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Amendment and Restatement Agreement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 / AQ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Agreed (v3)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A2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Confirmatory debenture (Company)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Agreed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A3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Share charge — Sutherland Distribution (Midlands) Ltd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Agreed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A4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Legal mortgage — Coventry freehold (WM482113)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Agreed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A5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Facility B fee letter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AQ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Agreed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A6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Board minutes (Company)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 / Co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Final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A7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Shareholder resolution (security)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 / Co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Final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</w:tbl>
    <w:p>
      <w:pPr>
        <w:pStyle w:val="Heading2"/>
      </w:pPr>
      <w:r>
        <w:t xml:space="preserve">Part B — Conditions precedent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26"/>
        <w:gridCol w:w="2300"/>
        <w:gridCol w:w="2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Condition precedent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B1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Certified constitutional documents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B2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Certified board resolution + specimen signatures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B3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Officer's certificate (borrowing limits / no default)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B4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Independent business review (final)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Marlow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B5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13-week cashflow forecast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 / Marlow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B6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Group structure chart (current)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B7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Legal opinion (capacity / due execution)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B8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KYC / AML on Company and directors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Bank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B9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Companies House MR01 filings (new security)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✗ (to file within 21 days)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B10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Land Registry application (legal mortgage)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✗ (post-completion)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B11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Evidence of payment of Amendment Fee and costs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 (on Effective Date)</w:t>
            </w:r>
          </w:p>
        </w:tc>
      </w:tr>
    </w:tbl>
    <w:p>
      <w:pPr>
        <w:pStyle w:val="Heading2"/>
      </w:pPr>
      <w:r>
        <w:t xml:space="preserve">Part C — Funds flow and fees (Effective Date)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6"/>
        <w:gridCol w:w="2900"/>
        <w:gridCol w:w="2000"/>
      </w:tblGrid>
      <w:tr>
        <w:trPr>
          <w:tblHeader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Direction</w:t>
            </w:r>
          </w:p>
        </w:tc>
      </w:tr>
      <w:tr>
        <w:trPr>
          <w:tblHeader w:val="false"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Facility B advance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£3,500,000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Bank → Company</w:t>
            </w:r>
          </w:p>
        </w:tc>
      </w:tr>
      <w:tr>
        <w:trPr>
          <w:tblHeader w:val="false"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Amendment fee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£285,000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Company → Bank</w:t>
            </w:r>
          </w:p>
        </w:tc>
      </w:tr>
      <w:tr>
        <w:trPr>
          <w:tblHeader w:val="false"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WC fees (incl. on account credit)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£42,500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Company → WC</w:t>
            </w:r>
          </w:p>
        </w:tc>
      </w:tr>
      <w:tr>
        <w:trPr>
          <w:tblHeader w:val="false"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AQ fees (Bank's counsel)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£31,800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Company → AQ</w:t>
            </w:r>
          </w:p>
        </w:tc>
      </w:tr>
      <w:tr>
        <w:trPr>
          <w:tblHeader w:val="false"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Marlow IBR fees (balance)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£18,400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Company → Marlow</w:t>
            </w:r>
          </w:p>
        </w:tc>
      </w:tr>
      <w:tr>
        <w:trPr>
          <w:tblHeader w:val="false"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Companies House &amp; Land Registry fees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£1,100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Company → HMLR / CH</w:t>
            </w:r>
          </w:p>
        </w:tc>
      </w:tr>
      <w:tr>
        <w:trPr>
          <w:tblHeader w:val="false"/>
        </w:trPr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Net to Company working capital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£3,121,200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retained</w:t>
            </w:r>
          </w:p>
        </w:tc>
      </w:tr>
    </w:tbl>
    <w:p>
      <w:pPr>
        <w:spacing w:after="120" w:before="120" w:line="276"/>
      </w:pPr>
      <w:r>
        <w:rPr>
          <w:i/>
          <w:iCs/>
          <w:sz w:val="18"/>
          <w:szCs w:val="18"/>
        </w:rPr>
        <w:t xml:space="preserve">Net new liquidity to the Company on the Effective Date: £3,121,200 (see funds flow spreadsheet for full detail).</w:t>
      </w:r>
    </w:p>
    <w:p>
      <w:pPr>
        <w:pStyle w:val="Heading2"/>
      </w:pPr>
      <w:r>
        <w:t xml:space="preserve">Part D — Post-completion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File MR01 forms and certified security documents at Companies House within 21 days of creation.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Submit AP1/CH1 to HM Land Registry to register the legal mortgage and obtain a certificate of registration.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Deliver original executed documents to the Bank and a completion bible to the Company within 10 Business Days.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Diarise first monthly management accounts (20 Business Days after July month end) and first Compliance Certificate (30 September 2026 test date).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  <w:spacing w:after="0" w:before="120"/>
    </w:pPr>
    <w:r>
      <w:rPr>
        <w:color w:val="808080"/>
        <w:sz w:val="15"/>
        <w:szCs w:val="15"/>
      </w:rPr>
      <w:t xml:space="preserve">Project Northwind — Completion Checklist</w:t>
    </w:r>
    <w:r>
      <w:rPr>
        <w:color w:val="808080"/>
        <w:sz w:val="15"/>
        <w:szCs w:val="15"/>
      </w:rPr>
      <w:t xml:space="preserve">	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2026-06-26T12:47:56.429Z</dcterms:created>
  <dcterms:modified xsi:type="dcterms:W3CDTF">2026-06-26T12:47:56.430Z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