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4A4A4A"/>
          <w:sz w:val="28"/>
          <w:szCs w:val="28"/>
        </w:rPr>
        <w:t xml:space="preserve">ASHWORTH QUINN LLP</w:t>
      </w:r>
    </w:p>
    <w:p>
      <w:pPr>
        <w:spacing w:after="0"/>
        <w:jc w:val="right"/>
      </w:pPr>
      <w:r>
        <w:rPr>
          <w:color w:val="7F7F7F"/>
          <w:sz w:val="18"/>
          <w:szCs w:val="18"/>
        </w:rPr>
        <w:t xml:space="preserve">Solicitors  ·  60 Cannon Street, London EC4N 6NP</w:t>
      </w:r>
    </w:p>
    <w:p>
      <w:pPr>
        <w:pBdr>
          <w:bottom w:val="single" w:color="4A4A4A" w:sz="6" w:space="6"/>
        </w:pBdr>
        <w:spacing w:after="200"/>
        <w:jc w:val="right"/>
      </w:pPr>
      <w:r>
        <w:rPr>
          <w:color w:val="7F7F7F"/>
          <w:sz w:val="18"/>
          <w:szCs w:val="18"/>
        </w:rPr>
        <w:t xml:space="preserve">DX 142401 Cheapside 2  ·  www.ashworthquinn.com</w:t>
      </w:r>
    </w:p>
    <w:p>
      <w:pPr>
        <w:spacing w:after="160"/>
      </w:pPr>
    </w:p>
    <w:p>
      <w:pPr>
        <w:spacing w:after="120" w:line="276"/>
      </w:pPr>
      <w:r>
        <w:rPr>
          <w:b/>
          <w:bCs/>
          <w:sz w:val="18"/>
          <w:szCs w:val="18"/>
        </w:rPr>
        <w:t xml:space="preserve">STRICTLY PRIVATE &amp; CONFIDENTIAL</w:t>
      </w:r>
    </w:p>
    <w:p>
      <w:pPr>
        <w:spacing w:after="0" w:line="276"/>
      </w:pPr>
      <w:r>
        <w:t xml:space="preserve">The Directors</w:t>
      </w:r>
    </w:p>
    <w:p>
      <w:pPr>
        <w:spacing w:after="0" w:line="276"/>
      </w:pPr>
      <w:r>
        <w:t xml:space="preserve">Sutherland Logistics Limited</w:t>
      </w:r>
    </w:p>
    <w:p>
      <w:pPr>
        <w:spacing w:after="160" w:line="276"/>
      </w:pPr>
      <w:r>
        <w:t xml:space="preserve">Sutherland House, Brindley Park, Coventry CV6 5RX</w:t>
      </w:r>
    </w:p>
    <w:p>
      <w:pPr>
        <w:spacing w:after="40" w:line="276"/>
      </w:pPr>
      <w:r>
        <w:rPr>
          <w:i/>
          <w:iCs/>
        </w:rPr>
        <w:t xml:space="preserve">By email and post</w:t>
      </w:r>
    </w:p>
    <w:p>
      <w:pPr>
        <w:spacing w:after="200" w:line="276"/>
      </w:pPr>
      <w:r>
        <w:rPr>
          <w:b/>
          <w:bCs/>
        </w:rPr>
        <w:t xml:space="preserve">Our ref: </w:t>
      </w:r>
      <w:r>
        <w:t xml:space="preserve">MA/CD/STER-2231</w:t>
      </w:r>
      <w:r>
        <w:t xml:space="preserve">				</w:t>
      </w:r>
      <w:r>
        <w:t xml:space="preserve">27 February 2026</w:t>
      </w:r>
    </w:p>
    <w:p>
      <w:pPr>
        <w:spacing w:after="120" w:line="276"/>
      </w:pPr>
      <w:r>
        <w:t xml:space="preserve">Dear Sirs</w:t>
      </w:r>
    </w:p>
    <w:p>
      <w:pPr>
        <w:spacing w:after="120" w:line="276"/>
      </w:pPr>
      <w:r>
        <w:rPr>
          <w:b/>
          <w:bCs/>
        </w:rPr>
        <w:t xml:space="preserve">Sterling Commercial Bank plc — facilities agreement dated 14 March 2022 (the "Facilities Agreement"): forbearance and standstill</w:t>
      </w:r>
    </w:p>
    <w:p>
      <w:pPr>
        <w:spacing w:after="120" w:line="276"/>
      </w:pPr>
      <w:r>
        <w:t xml:space="preserve">We act for Sterling Commercial Bank plc (the "Bank"). We refer to the Facilities Agreement between the Bank and Sutherland Logistics Limited (the "Company") and to the Bank's reservation of rights letter dated 16 January 2026.</w:t>
      </w:r>
    </w:p>
    <w:p>
      <w:pPr>
        <w:pStyle w:val="Heading2"/>
      </w:pPr>
      <w:r>
        <w:t xml:space="preserve">1. Background and Defaults</w:t>
      </w:r>
    </w:p>
    <w:p>
      <w:pPr>
        <w:spacing w:after="120" w:line="276"/>
      </w:pPr>
      <w:r>
        <w:t xml:space="preserve">As you are aware, the financial covenant test certificate for the period ended 31 December 2025 disclosed breaches of: (a) Clause 22.1 (Leverage); and (b) Clause 22.2 (Interest cover) of the Facilities Agreement (together, the "Specified Defaults"). The Specified Defaults constitute Events of Default under Clause 24.2. The Bank has not waived, and does not by this letter waive, the Specified Defaults or any of its rights.</w:t>
      </w:r>
    </w:p>
    <w:p>
      <w:pPr>
        <w:pStyle w:val="Heading2"/>
      </w:pPr>
      <w:r>
        <w:t xml:space="preserve">2. Forbearance</w:t>
      </w:r>
    </w:p>
    <w:p>
      <w:pPr>
        <w:spacing w:after="120" w:line="276"/>
      </w:pPr>
      <w:r>
        <w:t xml:space="preserve">Subject to the terms of this letter, the Bank agrees that, during the Forbearance Period, it will not exercise the rights and remedies available to it under the Finance Documents or at law solely by reason of the Specified Defaults. "Forbearance Period" means the period from the date of this letter to the earlier of:</w:t>
      </w:r>
    </w:p>
    <w:p>
      <w:pPr>
        <w:pStyle w:val="ListParagraph"/>
        <w:numPr>
          <w:ilvl w:val="0"/>
          <w:numId w:val="2"/>
        </w:numPr>
        <w:spacing w:after="80" w:line="276"/>
      </w:pPr>
      <w:r>
        <w:t xml:space="preserve">30 June 2026;</w:t>
      </w:r>
    </w:p>
    <w:p>
      <w:pPr>
        <w:pStyle w:val="ListParagraph"/>
        <w:numPr>
          <w:ilvl w:val="0"/>
          <w:numId w:val="2"/>
        </w:numPr>
        <w:spacing w:after="80" w:line="276"/>
      </w:pPr>
      <w:r>
        <w:t xml:space="preserve">the date on which the proposed amendment and restatement of the Facilities Agreement (the "Restructuring") completes; and</w:t>
      </w:r>
    </w:p>
    <w:p>
      <w:pPr>
        <w:pStyle w:val="ListParagraph"/>
        <w:numPr>
          <w:ilvl w:val="0"/>
          <w:numId w:val="2"/>
        </w:numPr>
        <w:spacing w:after="80" w:line="276"/>
      </w:pPr>
      <w:r>
        <w:t xml:space="preserve">the date on which a Forbearance Termination Event occurs.</w:t>
      </w:r>
    </w:p>
    <w:p>
      <w:pPr>
        <w:pStyle w:val="Heading2"/>
      </w:pPr>
      <w:r>
        <w:t xml:space="preserve">3. Conditions of forbearance</w:t>
      </w:r>
    </w:p>
    <w:p>
      <w:pPr>
        <w:spacing w:after="120" w:line="276"/>
      </w:pPr>
      <w:r>
        <w:t xml:space="preserve">The Bank's agreement to forbear is conditional on the Company:</w:t>
      </w:r>
    </w:p>
    <w:p>
      <w:pPr>
        <w:pStyle w:val="ListParagraph"/>
        <w:numPr>
          <w:ilvl w:val="0"/>
          <w:numId w:val="2"/>
        </w:numPr>
        <w:spacing w:after="80" w:line="276"/>
      </w:pPr>
      <w:r>
        <w:t xml:space="preserve">continuing to engage constructively and in good faith with the Bank and its advisers to implement the Restructuring by the longstop date of 31 July 2026;</w:t>
      </w:r>
    </w:p>
    <w:p>
      <w:pPr>
        <w:pStyle w:val="ListParagraph"/>
        <w:numPr>
          <w:ilvl w:val="0"/>
          <w:numId w:val="2"/>
        </w:numPr>
        <w:spacing w:after="80" w:line="276"/>
      </w:pPr>
      <w:r>
        <w:t xml:space="preserve">delivering to the Bank a rolling 13-week cashflow forecast, updated each Friday, and monthly management accounts within 20 business days of month end;</w:t>
      </w:r>
    </w:p>
    <w:p>
      <w:pPr>
        <w:pStyle w:val="ListParagraph"/>
        <w:numPr>
          <w:ilvl w:val="0"/>
          <w:numId w:val="2"/>
        </w:numPr>
        <w:spacing w:after="80" w:line="276"/>
      </w:pPr>
      <w:r>
        <w:t xml:space="preserve">procuring that Marlow Tax &amp; Advisory Ltd completes and delivers the independent business review by 13 March 2026;</w:t>
      </w:r>
    </w:p>
    <w:p>
      <w:pPr>
        <w:pStyle w:val="ListParagraph"/>
        <w:numPr>
          <w:ilvl w:val="0"/>
          <w:numId w:val="2"/>
        </w:numPr>
        <w:spacing w:after="80" w:line="276"/>
      </w:pPr>
      <w:r>
        <w:t xml:space="preserve">not making any payment to shareholders or connected parties, and not incurring financial indebtedness outside the ordinary course, without the Bank's prior written consent;</w:t>
      </w:r>
    </w:p>
    <w:p>
      <w:pPr>
        <w:pStyle w:val="ListParagraph"/>
        <w:numPr>
          <w:ilvl w:val="0"/>
          <w:numId w:val="2"/>
        </w:numPr>
        <w:spacing w:after="80" w:line="276"/>
      </w:pPr>
      <w:r>
        <w:t xml:space="preserve">paying the Bank's reasonable advisory costs and the work fee of £75,000 (which the Company has paid on or before the date of this letter).</w:t>
      </w:r>
    </w:p>
    <w:p>
      <w:pPr>
        <w:pStyle w:val="Heading2"/>
      </w:pPr>
      <w:r>
        <w:t xml:space="preserve">4. Forbearance Termination Events</w:t>
      </w:r>
    </w:p>
    <w:p>
      <w:pPr>
        <w:spacing w:after="120" w:line="276"/>
      </w:pPr>
      <w:r>
        <w:t xml:space="preserve">Each of the following is a "Forbearance Termination Event": (a) any Event of Default other than the Specified Defaults; (b) any breach by the Company of this letter; (c) any step being taken for the appointment of an administrator, liquidator or receiver, or the presentation of a winding-up petition; (d) the Company ceasing to carry on its business; or (e) the Bank concluding, acting reasonably, that the Restructuring is no longer capable of being implemented by the longstop date.</w:t>
      </w:r>
    </w:p>
    <w:p>
      <w:pPr>
        <w:pStyle w:val="Heading2"/>
      </w:pPr>
      <w:r>
        <w:t xml:space="preserve">5. Reservation of rights</w:t>
      </w:r>
    </w:p>
    <w:p>
      <w:pPr>
        <w:spacing w:after="120" w:line="276"/>
      </w:pPr>
      <w:r>
        <w:t xml:space="preserve">Save as expressly set out in this letter, the Bank reserves all of its rights, powers and remedies under the Finance Documents and at law, all of which remain in full force and effect. Nothing in this letter constitutes a waiver of any Default or amends any Finance Document. The Bank may at any time after the end of the Forbearance Period exercise any such right or remedy without further notice.</w:t>
      </w:r>
    </w:p>
    <w:p>
      <w:pPr>
        <w:pStyle w:val="Heading2"/>
      </w:pPr>
      <w:r>
        <w:t xml:space="preserve">6. Costs, governing law and counterparts</w:t>
      </w:r>
    </w:p>
    <w:p>
      <w:pPr>
        <w:spacing w:after="120" w:line="276"/>
      </w:pPr>
      <w:r>
        <w:t xml:space="preserve">The Company will pay the Bank's costs in connection with this letter. This letter is governed by English law and the parties submit to the exclusive jurisdiction of the courts of England and Wales. This letter may be executed in counterparts.</w:t>
      </w:r>
    </w:p>
    <w:p>
      <w:pPr>
        <w:spacing w:after="240" w:line="276"/>
      </w:pPr>
      <w:r>
        <w:t xml:space="preserve">Please confirm the Company's agreement to the terms of this letter by signing and returning the enclosed copy.</w:t>
      </w:r>
    </w:p>
    <w:p>
      <w:pPr>
        <w:spacing w:after="200" w:line="276"/>
      </w:pPr>
      <w:r>
        <w:t xml:space="preserve">Yours faithfully</w:t>
      </w:r>
    </w:p>
    <w:p>
      <w:pPr>
        <w:spacing w:after="360" w:line="276"/>
      </w:pPr>
      <w:r>
        <w:rPr>
          <w:b/>
          <w:bCs/>
        </w:rPr>
        <w:t xml:space="preserve">Ashworth Quinn LLP</w:t>
      </w:r>
    </w:p>
    <w:p>
      <w:pPr>
        <w:spacing w:after="200" w:line="276"/>
      </w:pPr>
      <w:r>
        <w:t xml:space="preserve">We acknowledge and agree to the terms of this letter.</w:t>
      </w:r>
    </w:p>
    <w:p>
      <w:pPr>
        <w:spacing w:after="40" w:line="276"/>
      </w:pPr>
      <w:r>
        <w:t xml:space="preserve">Signed: ……………………………………………</w:t>
      </w:r>
    </w:p>
    <w:p>
      <w:pPr>
        <w:spacing w:after="0" w:line="276"/>
      </w:pPr>
      <w:r>
        <w:rPr>
          <w:sz w:val="18"/>
          <w:szCs w:val="18"/>
        </w:rPr>
        <w:t xml:space="preserve">For and on behalf of Sutherland Logistics Limited</w:t>
      </w:r>
    </w:p>
    <w:p>
      <w:pPr>
        <w:spacing w:after="120" w:line="276"/>
      </w:pPr>
      <w:r>
        <w:rPr>
          <w:sz w:val="18"/>
          <w:szCs w:val="18"/>
        </w:rPr>
        <w:t xml:space="preserve">Name: Gordon Sutherland   Title: Managing Director   Date: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spacing w:after="0" w:before="120"/>
    </w:pPr>
    <w:r>
      <w:rPr>
        <w:color w:val="808080"/>
        <w:sz w:val="15"/>
        <w:szCs w:val="15"/>
      </w:rPr>
      <w:t xml:space="preserve">Sterling Commercial Bank plc / Sutherland Logistics Limited — Forbearance Letter</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sz w:val="24"/>
      <w:szCs w:val="24"/>
    </w:rPr>
  </w:style>
  <w:style w:type="paragraph" w:styleId="Heading2">
    <w:name w:val="Heading 2"/>
    <w:basedOn w:val="Normal"/>
    <w:next w:val="Normal"/>
    <w:qFormat/>
    <w:pPr>
      <w:keepNext/>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2026-06-26T12:41:58.234Z</dcterms:created>
  <dcterms:modified xsi:type="dcterms:W3CDTF">2026-06-26T12:41:58.234Z</dcterms:modified>
</cp:coreProperties>
</file>

<file path=docProps/custom.xml><?xml version="1.0" encoding="utf-8"?>
<Properties xmlns="http://schemas.openxmlformats.org/officeDocument/2006/custom-properties" xmlns:vt="http://schemas.openxmlformats.org/officeDocument/2006/docPropsVTypes"/>
</file>