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color w:val="C00000"/>
          <w:sz w:val="18"/>
          <w:szCs w:val="18"/>
        </w:rPr>
        <w:t xml:space="preserve">PRIVATE &amp; CONFIDENTIAL — SUBJECT TO CONTRACT — WITHOUT PREJUDICE</w:t>
      </w:r>
    </w:p>
    <w:p>
      <w:pPr>
        <w:spacing w:after="40"/>
        <w:jc w:val="center"/>
      </w:pPr>
      <w:r>
        <w:rPr>
          <w:color w:val="808080"/>
          <w:sz w:val="16"/>
          <w:szCs w:val="16"/>
        </w:rPr>
        <w:t xml:space="preserve">FOR DISCUSSION PURPOSES ONLY</w:t>
      </w:r>
    </w:p>
    <w:p>
      <w:pPr>
        <w:spacing w:after="0" w:before="120"/>
        <w:jc w:val="center"/>
      </w:pPr>
      <w:r>
        <w:rPr>
          <w:b/>
          <w:bCs/>
          <w:sz w:val="30"/>
          <w:szCs w:val="30"/>
        </w:rPr>
        <w:t xml:space="preserve">PROJECT NORTHWIND</w:t>
      </w:r>
    </w:p>
    <w:p>
      <w:pPr>
        <w:spacing w:after="0"/>
        <w:jc w:val="center"/>
      </w:pPr>
      <w:r>
        <w:rPr>
          <w:b/>
          <w:bCs/>
          <w:sz w:val="24"/>
          <w:szCs w:val="24"/>
        </w:rPr>
        <w:t xml:space="preserve">INDICATIVE RESTRUCTURING TERM SHEET</w:t>
      </w:r>
    </w:p>
    <w:p>
      <w:pPr>
        <w:spacing w:after="240"/>
        <w:jc w:val="center"/>
      </w:pPr>
      <w:r>
        <w:rPr>
          <w:i/>
          <w:iCs/>
          <w:sz w:val="18"/>
          <w:szCs w:val="18"/>
        </w:rPr>
        <w:t xml:space="preserve">Amendment and restatement of the senior facilities of Sutherland Logistics Limited — 16 February 2026</w:t>
      </w:r>
    </w:p>
    <w:p>
      <w:pPr>
        <w:spacing w:after="120" w:line="276"/>
      </w:pPr>
      <w:r>
        <w:t xml:space="preserve">This term sheet summarises the principal terms on which Sterling Commercial Bank plc (the "Bank") would be prepared to amend and restate the existing senior facilities of Sutherland Logistics Limited (the "Company"). It is indicative only, does not constitute an offer or commitment, is subject to contract and to credit committee approval, and is provided on a without prejudice basis. Capitalised terms not defined here have the meanings given in the Existing Facilities Agreement.</w:t>
      </w:r>
    </w:p>
    <w:p>
      <w:pPr>
        <w:pStyle w:val="Heading2"/>
      </w:pPr>
      <w:r>
        <w:t xml:space="preserve">Parties and existing 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4"/>
              <w:left w:val="single" w:color="999999" w:sz="4"/>
              <w:bottom w:val="single" w:color="999999" w:sz="4"/>
              <w:right w:val="single" w:color="999999" w:sz="4"/>
            </w:tcBorders>
            <w:shd w:fill="D9E2F3" w:val="clear"/>
            <w:tcMar>
              <w:top w:type="dxa" w:w="60"/>
              <w:left w:type="dxa" w:w="110"/>
              <w:bottom w:type="dxa" w:w="60"/>
              <w:right w:type="dxa" w:w="110"/>
            </w:tcMar>
            <w:vAlign w:val="center"/>
          </w:tcPr>
          <w:p>
            <w:pPr>
              <w:spacing w:after="0" w:line="264"/>
            </w:pPr>
            <w:r>
              <w:rPr>
                <w:b/>
                <w:bCs/>
              </w:rPr>
              <w:t xml:space="preserve">Item</w:t>
            </w:r>
          </w:p>
        </w:tc>
        <w:tc>
          <w:tcPr>
            <w:tcW w:type="dxa" w:w="6626"/>
            <w:tcBorders>
              <w:top w:val="single" w:color="999999" w:sz="4"/>
              <w:left w:val="single" w:color="999999" w:sz="4"/>
              <w:bottom w:val="single" w:color="999999" w:sz="4"/>
              <w:right w:val="single" w:color="999999" w:sz="4"/>
            </w:tcBorders>
            <w:shd w:fill="D9E2F3" w:val="clear"/>
            <w:tcMar>
              <w:top w:type="dxa" w:w="60"/>
              <w:left w:type="dxa" w:w="110"/>
              <w:bottom w:type="dxa" w:w="60"/>
              <w:right w:type="dxa" w:w="110"/>
            </w:tcMar>
            <w:vAlign w:val="center"/>
          </w:tcPr>
          <w:p>
            <w:pPr>
              <w:spacing w:after="0" w:line="264"/>
            </w:pPr>
            <w:r>
              <w:rPr>
                <w:b/>
                <w:bCs/>
              </w:rPr>
              <w:t xml:space="preserve">Term</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Borrower</w:t>
            </w:r>
          </w:p>
        </w:tc>
        <w:tc>
          <w:tcPr>
            <w:tcW w:type="dxa" w:w="66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Sutherland Logistics Limited (registered number 04127836) (the "Company").</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Lender</w:t>
            </w:r>
          </w:p>
        </w:tc>
        <w:tc>
          <w:tcPr>
            <w:tcW w:type="dxa" w:w="66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Sterling Commercial Bank plc (the "Bank").</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Existing Facilities Agreement</w:t>
            </w:r>
          </w:p>
        </w:tc>
        <w:tc>
          <w:tcPr>
            <w:tcW w:type="dxa" w:w="66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Facilities agreement dated 14 March 2022 comprising a term loan of £18,000,000 ("Facility A") and a revolving credit facility of £7,000,000 (the "RCF").</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Outstandings (est.)</w:t>
            </w:r>
          </w:p>
        </w:tc>
        <w:tc>
          <w:tcPr>
            <w:tcW w:type="dxa" w:w="66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Facility A: £14,250,000; RCF drawn: £6,400,000; accrued interest and fees to be confirmed at the Effective Date.</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Background</w:t>
            </w:r>
          </w:p>
        </w:tc>
        <w:tc>
          <w:tcPr>
            <w:tcW w:type="dxa" w:w="66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The Company breached the leverage and interest cover covenants tested at 31 December 2025. The Bank reserved its rights on 16 January 2026. The parties wish to implement a consensual amendment and provide additional liquidity.</w:t>
            </w:r>
          </w:p>
        </w:tc>
      </w:tr>
    </w:tbl>
    <w:p>
      <w:pPr>
        <w:pStyle w:val="Heading2"/>
      </w:pPr>
      <w:r>
        <w:t xml:space="preserve">Restructured facilities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4"/>
              <w:left w:val="single" w:color="999999" w:sz="4"/>
              <w:bottom w:val="single" w:color="999999" w:sz="4"/>
              <w:right w:val="single" w:color="999999" w:sz="4"/>
            </w:tcBorders>
            <w:shd w:fill="D9E2F3" w:val="clear"/>
            <w:tcMar>
              <w:top w:type="dxa" w:w="60"/>
              <w:left w:type="dxa" w:w="110"/>
              <w:bottom w:type="dxa" w:w="60"/>
              <w:right w:type="dxa" w:w="110"/>
            </w:tcMar>
            <w:vAlign w:val="center"/>
          </w:tcPr>
          <w:p>
            <w:pPr>
              <w:spacing w:after="0" w:line="264"/>
            </w:pPr>
            <w:r>
              <w:rPr>
                <w:b/>
                <w:bCs/>
              </w:rPr>
              <w:t xml:space="preserve">Item</w:t>
            </w:r>
          </w:p>
        </w:tc>
        <w:tc>
          <w:tcPr>
            <w:tcW w:type="dxa" w:w="6626"/>
            <w:tcBorders>
              <w:top w:val="single" w:color="999999" w:sz="4"/>
              <w:left w:val="single" w:color="999999" w:sz="4"/>
              <w:bottom w:val="single" w:color="999999" w:sz="4"/>
              <w:right w:val="single" w:color="999999" w:sz="4"/>
            </w:tcBorders>
            <w:shd w:fill="D9E2F3" w:val="clear"/>
            <w:tcMar>
              <w:top w:type="dxa" w:w="60"/>
              <w:left w:type="dxa" w:w="110"/>
              <w:bottom w:type="dxa" w:w="60"/>
              <w:right w:type="dxa" w:w="110"/>
            </w:tcMar>
            <w:vAlign w:val="center"/>
          </w:tcPr>
          <w:p>
            <w:pPr>
              <w:spacing w:after="0" w:line="264"/>
            </w:pPr>
            <w:r>
              <w:rPr>
                <w:b/>
                <w:bCs/>
              </w:rPr>
              <w:t xml:space="preserve">Term</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Facility A (amended)</w:t>
            </w:r>
          </w:p>
        </w:tc>
        <w:tc>
          <w:tcPr>
            <w:tcW w:type="dxa" w:w="66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Existing term loan of £14,250,000 continued, amended and restated. Repayment profile re-cut as set out in the agreed amortisation schedule.</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New Facility B (new money)</w:t>
            </w:r>
          </w:p>
        </w:tc>
        <w:tc>
          <w:tcPr>
            <w:tcW w:type="dxa" w:w="66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New super-senior term loan of £3,500,000 to be made available by the Bank for working capital and restructuring costs, ranking ahead of Facility A and the RCF on enforcement.</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RCF (amended)</w:t>
            </w:r>
          </w:p>
        </w:tc>
        <w:tc>
          <w:tcPr>
            <w:tcW w:type="dxa" w:w="66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£7,000,000 commitment continued; permitted drawings capped at £6,400,000 until the Liquidity Covenant is met for two consecutive test dates.</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Maturity</w:t>
            </w:r>
          </w:p>
        </w:tc>
        <w:tc>
          <w:tcPr>
            <w:tcW w:type="dxa" w:w="66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All facilities to mature on 30 June 2029 (extended from 31 March 2027).</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Purpose</w:t>
            </w:r>
          </w:p>
        </w:tc>
        <w:tc>
          <w:tcPr>
            <w:tcW w:type="dxa" w:w="66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Refinancing of existing indebtedness, working capital, and payment of restructuring fees and expenses.</w:t>
            </w:r>
          </w:p>
        </w:tc>
      </w:tr>
    </w:tbl>
    <w:p>
      <w:pPr>
        <w:pStyle w:val="Heading2"/>
      </w:pPr>
      <w:r>
        <w:t xml:space="preserve">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326"/>
        <w:gridCol w:w="2000"/>
      </w:tblGrid>
      <w:tr>
        <w:trPr>
          <w:tblHeader/>
        </w:trPr>
        <w:tc>
          <w:tcPr>
            <w:tcW w:type="dxa" w:w="2700"/>
            <w:tcBorders>
              <w:top w:val="single" w:color="999999" w:sz="4"/>
              <w:left w:val="single" w:color="999999" w:sz="4"/>
              <w:bottom w:val="single" w:color="999999" w:sz="4"/>
              <w:right w:val="single" w:color="999999" w:sz="4"/>
            </w:tcBorders>
            <w:shd w:fill="D9E2F3" w:val="clear"/>
            <w:tcMar>
              <w:top w:type="dxa" w:w="60"/>
              <w:left w:type="dxa" w:w="110"/>
              <w:bottom w:type="dxa" w:w="60"/>
              <w:right w:type="dxa" w:w="110"/>
            </w:tcMar>
            <w:vAlign w:val="center"/>
          </w:tcPr>
          <w:p>
            <w:pPr>
              <w:spacing w:after="0" w:line="264"/>
            </w:pPr>
            <w:r>
              <w:rPr>
                <w:b/>
                <w:bCs/>
              </w:rPr>
              <w:t xml:space="preserve">Facility</w:t>
            </w:r>
          </w:p>
        </w:tc>
        <w:tc>
          <w:tcPr>
            <w:tcW w:type="dxa" w:w="4326"/>
            <w:tcBorders>
              <w:top w:val="single" w:color="999999" w:sz="4"/>
              <w:left w:val="single" w:color="999999" w:sz="4"/>
              <w:bottom w:val="single" w:color="999999" w:sz="4"/>
              <w:right w:val="single" w:color="999999" w:sz="4"/>
            </w:tcBorders>
            <w:shd w:fill="D9E2F3" w:val="clear"/>
            <w:tcMar>
              <w:top w:type="dxa" w:w="60"/>
              <w:left w:type="dxa" w:w="110"/>
              <w:bottom w:type="dxa" w:w="60"/>
              <w:right w:type="dxa" w:w="110"/>
            </w:tcMar>
            <w:vAlign w:val="center"/>
          </w:tcPr>
          <w:p>
            <w:pPr>
              <w:spacing w:after="0" w:line="264"/>
            </w:pPr>
            <w:r>
              <w:rPr>
                <w:b/>
                <w:bCs/>
              </w:rPr>
              <w:t xml:space="preserve">Margin (per annum)</w:t>
            </w:r>
          </w:p>
        </w:tc>
        <w:tc>
          <w:tcPr>
            <w:tcW w:type="dxa" w:w="2000"/>
            <w:tcBorders>
              <w:top w:val="single" w:color="999999" w:sz="4"/>
              <w:left w:val="single" w:color="999999" w:sz="4"/>
              <w:bottom w:val="single" w:color="999999" w:sz="4"/>
              <w:right w:val="single" w:color="999999" w:sz="4"/>
            </w:tcBorders>
            <w:shd w:fill="D9E2F3" w:val="clear"/>
            <w:tcMar>
              <w:top w:type="dxa" w:w="60"/>
              <w:left w:type="dxa" w:w="110"/>
              <w:bottom w:type="dxa" w:w="60"/>
              <w:right w:type="dxa" w:w="110"/>
            </w:tcMar>
            <w:vAlign w:val="center"/>
          </w:tcPr>
          <w:p>
            <w:pPr>
              <w:spacing w:after="0" w:line="264"/>
            </w:pPr>
            <w:r>
              <w:rPr>
                <w:b/>
                <w:bCs/>
              </w:rPr>
              <w:t xml:space="preserve">Reference rate</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Facility A</w:t>
            </w:r>
          </w:p>
        </w:tc>
        <w:tc>
          <w:tcPr>
            <w:tcW w:type="dxa" w:w="43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4.25% cash</w:t>
            </w:r>
          </w:p>
        </w:tc>
        <w:tc>
          <w:tcPr>
            <w:tcW w:type="dxa" w:w="20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Term SONIA</w:t>
            </w:r>
          </w:p>
        </w:tc>
      </w:tr>
      <w:tr>
        <w:trPr>
          <w:tblHeader w:val="false"/>
        </w:trPr>
        <w:tc>
          <w:tcPr>
            <w:tcW w:type="dxa" w:w="2700"/>
            <w:tcBorders>
              <w:top w:val="single" w:color="999999" w:sz="4"/>
              <w:left w:val="single" w:color="999999" w:sz="4"/>
              <w:bottom w:val="single" w:color="999999" w:sz="4"/>
              <w:right w:val="single" w:color="999999" w:sz="4"/>
            </w:tcBorders>
            <w:shd w:fill="F2F2F2" w:val="clear"/>
            <w:tcMar>
              <w:top w:type="dxa" w:w="60"/>
              <w:left w:type="dxa" w:w="110"/>
              <w:bottom w:type="dxa" w:w="60"/>
              <w:right w:type="dxa" w:w="110"/>
            </w:tcMar>
            <w:vAlign w:val="center"/>
          </w:tcPr>
          <w:p>
            <w:pPr>
              <w:spacing w:after="0" w:line="264"/>
            </w:pPr>
            <w:r>
              <w:t xml:space="preserve">Facility A — PIK toggle</w:t>
            </w:r>
          </w:p>
        </w:tc>
        <w:tc>
          <w:tcPr>
            <w:tcW w:type="dxa" w:w="4326"/>
            <w:tcBorders>
              <w:top w:val="single" w:color="999999" w:sz="4"/>
              <w:left w:val="single" w:color="999999" w:sz="4"/>
              <w:bottom w:val="single" w:color="999999" w:sz="4"/>
              <w:right w:val="single" w:color="999999" w:sz="4"/>
            </w:tcBorders>
            <w:shd w:fill="F2F2F2" w:val="clear"/>
            <w:tcMar>
              <w:top w:type="dxa" w:w="60"/>
              <w:left w:type="dxa" w:w="110"/>
              <w:bottom w:type="dxa" w:w="60"/>
              <w:right w:type="dxa" w:w="110"/>
            </w:tcMar>
            <w:vAlign w:val="center"/>
          </w:tcPr>
          <w:p>
            <w:pPr>
              <w:spacing w:after="0" w:line="264"/>
            </w:pPr>
            <w:r>
              <w:t xml:space="preserve">+3.00% PIK (from Q3 2026, at Company election)</w:t>
            </w:r>
          </w:p>
        </w:tc>
        <w:tc>
          <w:tcPr>
            <w:tcW w:type="dxa" w:w="2000"/>
            <w:tcBorders>
              <w:top w:val="single" w:color="999999" w:sz="4"/>
              <w:left w:val="single" w:color="999999" w:sz="4"/>
              <w:bottom w:val="single" w:color="999999" w:sz="4"/>
              <w:right w:val="single" w:color="999999" w:sz="4"/>
            </w:tcBorders>
            <w:shd w:fill="F2F2F2" w:val="clear"/>
            <w:tcMar>
              <w:top w:type="dxa" w:w="60"/>
              <w:left w:type="dxa" w:w="110"/>
              <w:bottom w:type="dxa" w:w="60"/>
              <w:right w:type="dxa" w:w="110"/>
            </w:tcMar>
            <w:vAlign w:val="center"/>
          </w:tcPr>
          <w:p>
            <w:pPr>
              <w:spacing w:after="0" w:line="264"/>
            </w:pPr>
            <w:r>
              <w:t xml:space="preserve">—</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New Facility B</w:t>
            </w:r>
          </w:p>
        </w:tc>
        <w:tc>
          <w:tcPr>
            <w:tcW w:type="dxa" w:w="43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6.50% cash</w:t>
            </w:r>
          </w:p>
        </w:tc>
        <w:tc>
          <w:tcPr>
            <w:tcW w:type="dxa" w:w="20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Term SONIA</w:t>
            </w:r>
          </w:p>
        </w:tc>
      </w:tr>
      <w:tr>
        <w:trPr>
          <w:tblHeader w:val="false"/>
        </w:trPr>
        <w:tc>
          <w:tcPr>
            <w:tcW w:type="dxa" w:w="2700"/>
            <w:tcBorders>
              <w:top w:val="single" w:color="999999" w:sz="4"/>
              <w:left w:val="single" w:color="999999" w:sz="4"/>
              <w:bottom w:val="single" w:color="999999" w:sz="4"/>
              <w:right w:val="single" w:color="999999" w:sz="4"/>
            </w:tcBorders>
            <w:shd w:fill="F2F2F2" w:val="clear"/>
            <w:tcMar>
              <w:top w:type="dxa" w:w="60"/>
              <w:left w:type="dxa" w:w="110"/>
              <w:bottom w:type="dxa" w:w="60"/>
              <w:right w:type="dxa" w:w="110"/>
            </w:tcMar>
            <w:vAlign w:val="center"/>
          </w:tcPr>
          <w:p>
            <w:pPr>
              <w:spacing w:after="0" w:line="264"/>
            </w:pPr>
            <w:r>
              <w:t xml:space="preserve">RCF</w:t>
            </w:r>
          </w:p>
        </w:tc>
        <w:tc>
          <w:tcPr>
            <w:tcW w:type="dxa" w:w="4326"/>
            <w:tcBorders>
              <w:top w:val="single" w:color="999999" w:sz="4"/>
              <w:left w:val="single" w:color="999999" w:sz="4"/>
              <w:bottom w:val="single" w:color="999999" w:sz="4"/>
              <w:right w:val="single" w:color="999999" w:sz="4"/>
            </w:tcBorders>
            <w:shd w:fill="F2F2F2" w:val="clear"/>
            <w:tcMar>
              <w:top w:type="dxa" w:w="60"/>
              <w:left w:type="dxa" w:w="110"/>
              <w:bottom w:type="dxa" w:w="60"/>
              <w:right w:type="dxa" w:w="110"/>
            </w:tcMar>
            <w:vAlign w:val="center"/>
          </w:tcPr>
          <w:p>
            <w:pPr>
              <w:spacing w:after="0" w:line="264"/>
            </w:pPr>
            <w:r>
              <w:t xml:space="preserve">4.00% cash</w:t>
            </w:r>
          </w:p>
        </w:tc>
        <w:tc>
          <w:tcPr>
            <w:tcW w:type="dxa" w:w="2000"/>
            <w:tcBorders>
              <w:top w:val="single" w:color="999999" w:sz="4"/>
              <w:left w:val="single" w:color="999999" w:sz="4"/>
              <w:bottom w:val="single" w:color="999999" w:sz="4"/>
              <w:right w:val="single" w:color="999999" w:sz="4"/>
            </w:tcBorders>
            <w:shd w:fill="F2F2F2" w:val="clear"/>
            <w:tcMar>
              <w:top w:type="dxa" w:w="60"/>
              <w:left w:type="dxa" w:w="110"/>
              <w:bottom w:type="dxa" w:w="60"/>
              <w:right w:type="dxa" w:w="110"/>
            </w:tcMar>
            <w:vAlign w:val="center"/>
          </w:tcPr>
          <w:p>
            <w:pPr>
              <w:spacing w:after="0" w:line="264"/>
            </w:pPr>
            <w:r>
              <w:t xml:space="preserve">Term SONIA</w:t>
            </w:r>
          </w:p>
        </w:tc>
      </w:tr>
    </w:tbl>
    <w:p>
      <w:pPr>
        <w:spacing w:after="160" w:line="276"/>
      </w:pPr>
      <w:r>
        <w:rPr>
          <w:sz w:val="18"/>
          <w:szCs w:val="18"/>
        </w:rPr>
        <w:t xml:space="preserve">Default interest of 2.00% per annum above the applicable rate will accrue on overdue amounts. A SONIA floor of 0.00% applies.</w:t>
      </w:r>
    </w:p>
    <w:p>
      <w:pPr>
        <w:pStyle w:val="Heading2"/>
      </w:pPr>
      <w:r>
        <w:t xml:space="preserve">Fees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26"/>
        <w:gridCol w:w="3000"/>
      </w:tblGrid>
      <w:tr>
        <w:trPr>
          <w:tblHeader/>
        </w:trPr>
        <w:tc>
          <w:tcPr>
            <w:tcW w:type="dxa" w:w="2400"/>
            <w:tcBorders>
              <w:top w:val="single" w:color="999999" w:sz="4"/>
              <w:left w:val="single" w:color="999999" w:sz="4"/>
              <w:bottom w:val="single" w:color="999999" w:sz="4"/>
              <w:right w:val="single" w:color="999999" w:sz="4"/>
            </w:tcBorders>
            <w:shd w:fill="D9E2F3" w:val="clear"/>
            <w:tcMar>
              <w:top w:type="dxa" w:w="60"/>
              <w:left w:type="dxa" w:w="110"/>
              <w:bottom w:type="dxa" w:w="60"/>
              <w:right w:type="dxa" w:w="110"/>
            </w:tcMar>
            <w:vAlign w:val="center"/>
          </w:tcPr>
          <w:p>
            <w:pPr>
              <w:spacing w:after="0" w:line="264"/>
            </w:pPr>
            <w:r>
              <w:rPr>
                <w:b/>
                <w:bCs/>
              </w:rPr>
              <w:t xml:space="preserve">Fee</w:t>
            </w:r>
          </w:p>
        </w:tc>
        <w:tc>
          <w:tcPr>
            <w:tcW w:type="dxa" w:w="3626"/>
            <w:tcBorders>
              <w:top w:val="single" w:color="999999" w:sz="4"/>
              <w:left w:val="single" w:color="999999" w:sz="4"/>
              <w:bottom w:val="single" w:color="999999" w:sz="4"/>
              <w:right w:val="single" w:color="999999" w:sz="4"/>
            </w:tcBorders>
            <w:shd w:fill="D9E2F3" w:val="clear"/>
            <w:tcMar>
              <w:top w:type="dxa" w:w="60"/>
              <w:left w:type="dxa" w:w="110"/>
              <w:bottom w:type="dxa" w:w="60"/>
              <w:right w:type="dxa" w:w="110"/>
            </w:tcMar>
            <w:vAlign w:val="center"/>
          </w:tcPr>
          <w:p>
            <w:pPr>
              <w:spacing w:after="0" w:line="264"/>
            </w:pPr>
            <w:r>
              <w:rPr>
                <w:b/>
                <w:bCs/>
              </w:rPr>
              <w:t xml:space="preserve">Amount</w:t>
            </w:r>
          </w:p>
        </w:tc>
        <w:tc>
          <w:tcPr>
            <w:tcW w:type="dxa" w:w="3000"/>
            <w:tcBorders>
              <w:top w:val="single" w:color="999999" w:sz="4"/>
              <w:left w:val="single" w:color="999999" w:sz="4"/>
              <w:bottom w:val="single" w:color="999999" w:sz="4"/>
              <w:right w:val="single" w:color="999999" w:sz="4"/>
            </w:tcBorders>
            <w:shd w:fill="D9E2F3" w:val="clear"/>
            <w:tcMar>
              <w:top w:type="dxa" w:w="60"/>
              <w:left w:type="dxa" w:w="110"/>
              <w:bottom w:type="dxa" w:w="60"/>
              <w:right w:type="dxa" w:w="110"/>
            </w:tcMar>
            <w:vAlign w:val="center"/>
          </w:tcPr>
          <w:p>
            <w:pPr>
              <w:spacing w:after="0" w:line="264"/>
            </w:pPr>
            <w:r>
              <w:rPr>
                <w:b/>
                <w:bCs/>
              </w:rPr>
              <w:t xml:space="preserve">Payable</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Work fee</w:t>
            </w:r>
          </w:p>
        </w:tc>
        <w:tc>
          <w:tcPr>
            <w:tcW w:type="dxa" w:w="36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£75,000</w:t>
            </w:r>
          </w:p>
        </w:tc>
        <w:tc>
          <w:tcPr>
            <w:tcW w:type="dxa" w:w="30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On signing the forbearance letter (already paid).</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Amendment fee</w:t>
            </w:r>
          </w:p>
        </w:tc>
        <w:tc>
          <w:tcPr>
            <w:tcW w:type="dxa" w:w="36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£285,000 (1.50% of amended term commitments)</w:t>
            </w:r>
          </w:p>
        </w:tc>
        <w:tc>
          <w:tcPr>
            <w:tcW w:type="dxa" w:w="30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On the Effective Date.</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Exit fee</w:t>
            </w:r>
          </w:p>
        </w:tc>
        <w:tc>
          <w:tcPr>
            <w:tcW w:type="dxa" w:w="36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1.00% of Facility B</w:t>
            </w:r>
          </w:p>
        </w:tc>
        <w:tc>
          <w:tcPr>
            <w:tcW w:type="dxa" w:w="30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On repayment or maturity of Facility B.</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Bank adviser costs</w:t>
            </w:r>
          </w:p>
        </w:tc>
        <w:tc>
          <w:tcPr>
            <w:tcW w:type="dxa" w:w="36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At cost</w:t>
            </w:r>
          </w:p>
        </w:tc>
        <w:tc>
          <w:tcPr>
            <w:tcW w:type="dxa" w:w="30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On demand (Ashworth Quinn LLP and the Bank's reporting accountants).</w:t>
            </w:r>
          </w:p>
        </w:tc>
      </w:tr>
    </w:tbl>
    <w:p>
      <w:pPr>
        <w:pStyle w:val="Heading2"/>
      </w:pPr>
      <w:r>
        <w:t xml:space="preserve">Financial covenants (tested quarterly from 30 September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999999" w:sz="4"/>
              <w:left w:val="single" w:color="999999" w:sz="4"/>
              <w:bottom w:val="single" w:color="999999" w:sz="4"/>
              <w:right w:val="single" w:color="999999" w:sz="4"/>
            </w:tcBorders>
            <w:shd w:fill="D9E2F3" w:val="clear"/>
            <w:tcMar>
              <w:top w:type="dxa" w:w="60"/>
              <w:left w:type="dxa" w:w="110"/>
              <w:bottom w:type="dxa" w:w="60"/>
              <w:right w:type="dxa" w:w="110"/>
            </w:tcMar>
            <w:vAlign w:val="center"/>
          </w:tcPr>
          <w:p>
            <w:pPr>
              <w:spacing w:after="0" w:line="264"/>
            </w:pPr>
            <w:r>
              <w:rPr>
                <w:b/>
                <w:bCs/>
              </w:rPr>
              <w:t xml:space="preserve">Covenant</w:t>
            </w:r>
          </w:p>
        </w:tc>
        <w:tc>
          <w:tcPr>
            <w:tcW w:type="dxa" w:w="5426"/>
            <w:tcBorders>
              <w:top w:val="single" w:color="999999" w:sz="4"/>
              <w:left w:val="single" w:color="999999" w:sz="4"/>
              <w:bottom w:val="single" w:color="999999" w:sz="4"/>
              <w:right w:val="single" w:color="999999" w:sz="4"/>
            </w:tcBorders>
            <w:shd w:fill="D9E2F3" w:val="clear"/>
            <w:tcMar>
              <w:top w:type="dxa" w:w="60"/>
              <w:left w:type="dxa" w:w="110"/>
              <w:bottom w:type="dxa" w:w="60"/>
              <w:right w:type="dxa" w:w="110"/>
            </w:tcMar>
            <w:vAlign w:val="center"/>
          </w:tcPr>
          <w:p>
            <w:pPr>
              <w:spacing w:after="0" w:line="264"/>
            </w:pPr>
            <w:r>
              <w:rPr>
                <w:b/>
                <w:bCs/>
              </w:rPr>
              <w:t xml:space="preserve">Level</w:t>
            </w:r>
          </w:p>
        </w:tc>
      </w:tr>
      <w:tr>
        <w:trPr>
          <w:tblHeader w:val="false"/>
        </w:trPr>
        <w:tc>
          <w:tcPr>
            <w:tcW w:type="dxa" w:w="36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Leverage (Net Debt : EBITDA)</w:t>
            </w:r>
          </w:p>
        </w:tc>
        <w:tc>
          <w:tcPr>
            <w:tcW w:type="dxa" w:w="54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3.50:1 stepping down to 3.00:1 by 31 December 2026</w:t>
            </w:r>
          </w:p>
        </w:tc>
      </w:tr>
      <w:tr>
        <w:trPr>
          <w:tblHeader w:val="false"/>
        </w:trPr>
        <w:tc>
          <w:tcPr>
            <w:tcW w:type="dxa" w:w="36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Debt service cover ratio</w:t>
            </w:r>
          </w:p>
        </w:tc>
        <w:tc>
          <w:tcPr>
            <w:tcW w:type="dxa" w:w="54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1.10:1 tested quarterly from 30 September 2026</w:t>
            </w:r>
          </w:p>
        </w:tc>
      </w:tr>
      <w:tr>
        <w:trPr>
          <w:tblHeader w:val="false"/>
        </w:trPr>
        <w:tc>
          <w:tcPr>
            <w:tcW w:type="dxa" w:w="36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Minimum liquidity</w:t>
            </w:r>
          </w:p>
        </w:tc>
        <w:tc>
          <w:tcPr>
            <w:tcW w:type="dxa" w:w="54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Not less than £1,500,000 at any time, tested monthly.</w:t>
            </w:r>
          </w:p>
        </w:tc>
      </w:tr>
      <w:tr>
        <w:trPr>
          <w:tblHeader w:val="false"/>
        </w:trPr>
        <w:tc>
          <w:tcPr>
            <w:tcW w:type="dxa" w:w="36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Capex</w:t>
            </w:r>
          </w:p>
        </w:tc>
        <w:tc>
          <w:tcPr>
            <w:tcW w:type="dxa" w:w="54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Limited to £1.8m per financial year, with a 50% carry-forward of unused amounts.</w:t>
            </w:r>
          </w:p>
        </w:tc>
      </w:tr>
    </w:tbl>
    <w:p>
      <w:pPr>
        <w:pStyle w:val="Heading2"/>
      </w:pPr>
      <w:r>
        <w:t xml:space="preserve">Conditions, security and other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4"/>
              <w:left w:val="single" w:color="999999" w:sz="4"/>
              <w:bottom w:val="single" w:color="999999" w:sz="4"/>
              <w:right w:val="single" w:color="999999" w:sz="4"/>
            </w:tcBorders>
            <w:shd w:fill="D9E2F3" w:val="clear"/>
            <w:tcMar>
              <w:top w:type="dxa" w:w="60"/>
              <w:left w:type="dxa" w:w="110"/>
              <w:bottom w:type="dxa" w:w="60"/>
              <w:right w:type="dxa" w:w="110"/>
            </w:tcMar>
            <w:vAlign w:val="center"/>
          </w:tcPr>
          <w:p>
            <w:pPr>
              <w:spacing w:after="0" w:line="264"/>
            </w:pPr>
            <w:r>
              <w:rPr>
                <w:b/>
                <w:bCs/>
              </w:rPr>
              <w:t xml:space="preserve">Item</w:t>
            </w:r>
          </w:p>
        </w:tc>
        <w:tc>
          <w:tcPr>
            <w:tcW w:type="dxa" w:w="6626"/>
            <w:tcBorders>
              <w:top w:val="single" w:color="999999" w:sz="4"/>
              <w:left w:val="single" w:color="999999" w:sz="4"/>
              <w:bottom w:val="single" w:color="999999" w:sz="4"/>
              <w:right w:val="single" w:color="999999" w:sz="4"/>
            </w:tcBorders>
            <w:shd w:fill="D9E2F3" w:val="clear"/>
            <w:tcMar>
              <w:top w:type="dxa" w:w="60"/>
              <w:left w:type="dxa" w:w="110"/>
              <w:bottom w:type="dxa" w:w="60"/>
              <w:right w:type="dxa" w:w="110"/>
            </w:tcMar>
            <w:vAlign w:val="center"/>
          </w:tcPr>
          <w:p>
            <w:pPr>
              <w:spacing w:after="0" w:line="264"/>
            </w:pPr>
            <w:r>
              <w:rPr>
                <w:b/>
                <w:bCs/>
              </w:rPr>
              <w:t xml:space="preserve">Term</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Conditions precedent</w:t>
            </w:r>
          </w:p>
        </w:tc>
        <w:tc>
          <w:tcPr>
            <w:tcW w:type="dxa" w:w="66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Customary for a transaction of this nature, including: executed amendment and restatement agreement; confirmatory debenture and reaffirmation of existing security; updated group structure chart; the independent business review (final); a 13-week cashflow forecast; board and shareholder approvals; legal opinions; and KYC.</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Security</w:t>
            </w:r>
          </w:p>
        </w:tc>
        <w:tc>
          <w:tcPr>
            <w:tcW w:type="dxa" w:w="66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Existing fixed and floating charge debenture dated 14 March 2022 to be reaffirmed; new debenture confirming security over the Company's assets; share charge over the Company's subsidiary Sutherland Distribution (Midlands) Limited; and a charge over the Coventry freehold (title WM482113).</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Information undertakings</w:t>
            </w:r>
          </w:p>
        </w:tc>
        <w:tc>
          <w:tcPr>
            <w:tcW w:type="dxa" w:w="66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Monthly management accounts within 20 business days; 13-week cashflow forecasts updated fortnightly; quarterly compliance certificates; and reasonable access for the Bank's advisers.</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Forbearance</w:t>
            </w:r>
          </w:p>
        </w:tc>
        <w:tc>
          <w:tcPr>
            <w:tcW w:type="dxa" w:w="66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The Bank to forbear from exercising rights in respect of the existing covenant breaches until 30 June 2026 or the Effective Date, subject to the forbearance letter.</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Longstop date</w:t>
            </w:r>
          </w:p>
        </w:tc>
        <w:tc>
          <w:tcPr>
            <w:tcW w:type="dxa" w:w="66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31 July 2026</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Governing law</w:t>
            </w:r>
          </w:p>
        </w:tc>
        <w:tc>
          <w:tcPr>
            <w:tcW w:type="dxa" w:w="66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English law; courts of England and Wales.</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Advisers</w:t>
            </w:r>
          </w:p>
        </w:tc>
        <w:tc>
          <w:tcPr>
            <w:tcW w:type="dxa" w:w="6626"/>
            <w:tcBorders>
              <w:top w:val="single" w:color="999999" w:sz="4"/>
              <w:left w:val="single" w:color="999999" w:sz="4"/>
              <w:bottom w:val="single" w:color="999999" w:sz="4"/>
              <w:right w:val="single" w:color="999999" w:sz="4"/>
            </w:tcBorders>
            <w:tcMar>
              <w:top w:type="dxa" w:w="60"/>
              <w:left w:type="dxa" w:w="110"/>
              <w:bottom w:type="dxa" w:w="60"/>
              <w:right w:type="dxa" w:w="110"/>
            </w:tcMar>
            <w:vAlign w:val="center"/>
          </w:tcPr>
          <w:p>
            <w:pPr>
              <w:spacing w:after="0" w:line="264"/>
            </w:pPr>
            <w:r>
              <w:t xml:space="preserve">Company: Whitfield Carter LLP (legal) and Marlow Tax &amp; Advisory Ltd (financial). Bank: Ashworth Quinn LLP (legal).</w:t>
            </w:r>
          </w:p>
        </w:tc>
      </w:tr>
    </w:tbl>
    <w:p>
      <w:pPr>
        <w:spacing w:after="120" w:line="276"/>
      </w:pPr>
      <w:r>
        <w:t xml:space="preserve"/>
      </w:r>
    </w:p>
    <w:p>
      <w:pPr>
        <w:spacing w:after="120" w:line="276"/>
      </w:pPr>
      <w:r>
        <w:rPr>
          <w:i/>
          <w:iCs/>
          <w:sz w:val="18"/>
          <w:szCs w:val="18"/>
        </w:rPr>
        <w:t xml:space="preserve">This term sheet is not legally binding (save for the provisions relating to confidentiality, costs and governing law) and is subject to formal credit approval and execution of definitive documentation.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tabs>
        <w:tab w:val="right" w:pos="9026"/>
      </w:tabs>
      <w:spacing w:after="0" w:before="120"/>
    </w:pPr>
    <w:r>
      <w:rPr>
        <w:color w:val="808080"/>
        <w:sz w:val="15"/>
        <w:szCs w:val="15"/>
      </w:rPr>
      <w:t xml:space="preserve">Project Northwind — Indicative Restructuring Term Sheet — Subject to Contract</w:t>
    </w:r>
    <w:r>
      <w:rPr>
        <w:color w:val="808080"/>
        <w:sz w:val="15"/>
        <w:szCs w:val="15"/>
      </w:rPr>
      <w:t xml:space="preserve">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Calibri" w:cs="Calibri" w:eastAsia="Calibri" w:hAnsi="Calibri"/>
      <w:b/>
      <w:bCs/>
      <w:sz w:val="24"/>
      <w:szCs w:val="24"/>
    </w:rPr>
  </w:style>
  <w:style w:type="paragraph" w:styleId="Heading2">
    <w:name w:val="Heading 2"/>
    <w:basedOn w:val="Normal"/>
    <w:next w:val="Normal"/>
    <w:qFormat/>
    <w:pPr>
      <w:keepNext/>
      <w:spacing w:after="80" w:before="16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2026-06-26T12:41:58.052Z</dcterms:created>
  <dcterms:modified xsi:type="dcterms:W3CDTF">2026-06-26T12:41:58.052Z</dcterms:modified>
</cp:coreProperties>
</file>

<file path=docProps/custom.xml><?xml version="1.0" encoding="utf-8"?>
<Properties xmlns="http://schemas.openxmlformats.org/officeDocument/2006/custom-properties" xmlns:vt="http://schemas.openxmlformats.org/officeDocument/2006/docPropsVTypes"/>
</file>