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b/>
          <w:bCs/>
          <w:sz w:val="28"/>
          <w:szCs w:val="28"/>
        </w:rPr>
        <w:t xml:space="preserve">WHITFIELD CARTER LLP</w:t>
      </w:r>
    </w:p>
    <w:p>
      <w:pPr>
        <w:spacing w:after="0" w:line="276"/>
      </w:pPr>
      <w:r>
        <w:rPr>
          <w:sz w:val="18"/>
          <w:szCs w:val="18"/>
        </w:rPr>
        <w:t xml:space="preserve">22 Bishopsgate, London EC2N 4BQ</w:t>
      </w:r>
    </w:p>
    <w:p>
      <w:pPr>
        <w:spacing w:after="160" w:line="276"/>
      </w:pPr>
      <w:r>
        <w:rPr>
          <w:sz w:val="16"/>
          <w:szCs w:val="16"/>
        </w:rPr>
        <w:t xml:space="preserve">DX 123456 Bishopsgate  -  T +44 (0)20 7946 0000  -  www.whitfieldcarter.com</w:t>
      </w:r>
    </w:p>
    <w:p>
      <w:pPr>
        <w:pBdr>
          <w:bottom w:val="single" w:color="2E75B6" w:sz="6" w:space="1"/>
        </w:pBdr>
        <w:spacing w:after="120"/>
      </w:pPr>
      <w:r>
        <w:t xml:space="preserve"/>
      </w:r>
    </w:p>
    <w:p>
      <w:pPr>
        <w:tabs>
          <w:tab w:val="right" w:pos="9026"/>
        </w:tabs>
        <w:spacing w:after="0" w:line="276"/>
      </w:pPr>
      <w:r>
        <w:rPr>
          <w:b/>
          <w:bCs/>
        </w:rPr>
        <w:t xml:space="preserve">Marlowe Greaves LLP</w:t>
      </w:r>
      <w:r>
        <w:t xml:space="preserve">	By email and post</w:t>
      </w:r>
    </w:p>
    <w:p>
      <w:pPr>
        <w:spacing w:after="0" w:line="276"/>
      </w:pPr>
      <w:r>
        <w:t xml:space="preserve">FAO Mr Martin Greaves</w:t>
      </w:r>
    </w:p>
    <w:p>
      <w:pPr>
        <w:spacing w:after="160" w:line="276"/>
      </w:pPr>
      <w:r>
        <w:t xml:space="preserve">31 King Street, Leeds LS1 2HL</w:t>
      </w:r>
    </w:p>
    <w:p>
      <w:pPr>
        <w:spacing w:after="0" w:line="276"/>
      </w:pPr>
      <w:r>
        <w:t xml:space="preserve">Our ref: SAW/WC-00115/CMC   </w:t>
      </w:r>
      <w:r>
        <w:t xml:space="preserve">Your ref: MG/VFS/0042</w:t>
      </w:r>
    </w:p>
    <w:p>
      <w:pPr>
        <w:spacing w:after="160" w:line="276"/>
      </w:pPr>
      <w:r>
        <w:t xml:space="preserve">23 January 2026</w:t>
      </w:r>
    </w:p>
    <w:p>
      <w:pPr>
        <w:spacing w:after="120" w:line="276"/>
      </w:pPr>
      <w:r>
        <w:t xml:space="preserve">Dear Sirs</w:t>
      </w:r>
    </w:p>
    <w:p>
      <w:pPr>
        <w:spacing w:after="120" w:line="276"/>
      </w:pPr>
      <w:r>
        <w:rPr>
          <w:b/>
          <w:bCs/>
        </w:rPr>
        <w:t xml:space="preserve">Sutherland Logistics Limited v Vantage Freight Solutions Limited - Claim No. CC-2025-LON-000389</w:t>
      </w:r>
    </w:p>
    <w:p>
      <w:pPr>
        <w:spacing w:after="120" w:line="276"/>
      </w:pPr>
      <w:r>
        <w:t xml:space="preserve">We write further to the Defence served on 15 December 2025 and in advance of the Case Management Conference listed for 6 February 2026. The purpose of this letter is to seek to agree directions to trial and to narrow the issues so far as possible.</w:t>
      </w:r>
    </w:p>
    <w:p>
      <w:pPr>
        <w:spacing w:after="0" w:line="276"/>
      </w:pPr>
      <w:r>
        <w:rPr>
          <w:b/>
          <w:bCs/>
        </w:rPr>
        <w:t xml:space="preserve">Disclosure. </w:t>
      </w:r>
    </w:p>
    <w:p>
      <w:pPr>
        <w:spacing w:after="120" w:line="276"/>
      </w:pPr>
      <w:r>
        <w:t xml:space="preserve">Our client’s position is that this is a case suitable for disclosure by reference to defined Issues for Disclosure under PD 57AD. We enclose a draft List of Issues for Disclosure and a draft Disclosure Review Document for your consideration. We anticipate that Model C (request-led search-based disclosure) will be appropriate for most issues, with Model D limited to the issues concerning the alleged service failures said to justify termination, which your client has raised for the first time in its Defence.</w:t>
      </w:r>
    </w:p>
    <w:p>
      <w:pPr>
        <w:spacing w:after="0" w:line="276"/>
      </w:pPr>
      <w:r>
        <w:rPr>
          <w:b/>
          <w:bCs/>
        </w:rPr>
        <w:t xml:space="preserve">Factual witnesses. </w:t>
      </w:r>
    </w:p>
    <w:p>
      <w:pPr>
        <w:spacing w:after="120" w:line="276"/>
      </w:pPr>
      <w:r>
        <w:t xml:space="preserve">Our client intends to call two factual witnesses: Mr Gordon Sutherland (Managing Director) and Mr Mark Tennant (Operations Manager). We invite your client to confirm the identity of its intended witnesses so that an appropriate timetable for the exchange of witness statements can be fixed.</w:t>
      </w:r>
    </w:p>
    <w:p>
      <w:pPr>
        <w:spacing w:after="0" w:line="276"/>
      </w:pPr>
      <w:r>
        <w:rPr>
          <w:b/>
          <w:bCs/>
        </w:rPr>
        <w:t xml:space="preserve">Expert evidence. </w:t>
      </w:r>
    </w:p>
    <w:p>
      <w:pPr>
        <w:spacing w:after="120" w:line="276"/>
      </w:pPr>
      <w:r>
        <w:t xml:space="preserve">We do not consider that expert evidence is necessary for the determination of liability. To the extent that quantum is in issue, the heads of loss are set out in our client’s Schedule of Loss and are, in substance, a matter of arithmetic applied to the contractual charging mechanism. If your client contends that expert accountancy evidence is required, please explain why.</w:t>
      </w:r>
    </w:p>
    <w:p>
      <w:pPr>
        <w:spacing w:after="0" w:line="276"/>
      </w:pPr>
      <w:r>
        <w:rPr>
          <w:b/>
          <w:bCs/>
        </w:rPr>
        <w:t xml:space="preserve">Proposed timetable. </w:t>
      </w:r>
    </w:p>
    <w:p>
      <w:pPr>
        <w:spacing w:after="120" w:line="276"/>
      </w:pPr>
      <w:r>
        <w:t xml:space="preserve">Subject to the Court’s directions, we propose: disclosure by 27 March 2026; exchange of witness statements by 29 May 2026; a pre-trial review in November 2026; and a trial in a five-day window in the first quarter of 2027.</w:t>
      </w:r>
    </w:p>
    <w:p>
      <w:pPr>
        <w:spacing w:after="120" w:line="276"/>
      </w:pPr>
      <w:r>
        <w:t xml:space="preserve">We should be grateful if you would let us know whether the above is agreed, or set out your client’s alternative proposals, by 30 January 2026 so that a draft order can be placed before the Court.</w:t>
      </w:r>
    </w:p>
    <w:p>
      <w:pPr>
        <w:spacing w:after="160" w:line="276"/>
      </w:pPr>
      <w:r>
        <w:t xml:space="preserve">Yours faithfully</w:t>
      </w:r>
    </w:p>
    <w:p>
      <w:pPr>
        <w:spacing w:after="0" w:line="276"/>
      </w:pPr>
      <w:r>
        <w:rPr>
          <w:b/>
          <w:bCs/>
        </w:rPr>
        <w:t xml:space="preserve">Whitfield Carter LLP</w:t>
      </w:r>
    </w:p>
    <w:p>
      <w:pPr>
        <w:spacing w:after="120"/>
      </w:pPr>
      <w:r>
        <w:t xml:space="preserve"/>
      </w:r>
    </w:p>
    <w:p>
      <w:pPr>
        <w:spacing w:after="120" w:line="276"/>
      </w:pPr>
      <w:r>
        <w:rPr>
          <w:i/>
          <w:iCs/>
          <w:sz w:val="16"/>
          <w:szCs w:val="16"/>
        </w:rPr>
        <w:t xml:space="preserve">This communication is confidential and may be legally privileged.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lowerLetter"/>
      <w:lvlText w:val="(%1)"/>
      <w:lvlJc w:val="left"/>
      <w:pPr>
        <w:ind w:left="1200" w:hanging="600"/>
      </w:pPr>
    </w:lvl>
  </w:abstractNum>
  <w:abstractNum w:abstractNumId="4" w15:restartNumberingAfterBreak="0">
    <w:multiLevelType w:val="hybridMultilevel"/>
    <w:lvl w:ilvl="0" w15:tentative="1">
      <w:start w:val="1"/>
      <w:numFmt w:val="lowerLetter"/>
      <w:lvlText w:val="(%1)"/>
      <w:lvlJc w:val="left"/>
      <w:pPr>
        <w:ind w:left="1200" w:hanging="600"/>
      </w:pPr>
    </w:lvl>
  </w:abstractNum>
  <w:abstractNum w:abstractNumId="5" w15:restartNumberingAfterBreak="0">
    <w:multiLevelType w:val="hybridMultilevel"/>
    <w:lvl w:ilvl="0" w15:tentative="1">
      <w:start w:val="1"/>
      <w:numFmt w:val="lowerRoman"/>
      <w:lvlText w:val="(%1)"/>
      <w:lvlJc w:val="left"/>
      <w:pPr>
        <w:ind w:left="1800" w:hanging="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2026-06-25T12:34:30.677Z</dcterms:created>
  <dcterms:modified xsi:type="dcterms:W3CDTF">2026-06-25T12:34:30.677Z</dcterms:modified>
</cp:coreProperties>
</file>

<file path=docProps/custom.xml><?xml version="1.0" encoding="utf-8"?>
<Properties xmlns="http://schemas.openxmlformats.org/officeDocument/2006/custom-properties" xmlns:vt="http://schemas.openxmlformats.org/officeDocument/2006/docPropsVTypes"/>
</file>