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b/>
          <w:bCs/>
          <w:sz w:val="20"/>
          <w:szCs w:val="20"/>
        </w:rPr>
        <w:t xml:space="preserve">SUTHERLAND LOGISTICS LIMITED v VANTAGE FREIGHT SOLUTIONS LIMITED</w:t>
      </w:r>
    </w:p>
    <w:p>
      <w:pPr>
        <w:spacing w:after="0" w:line="276"/>
        <w:jc w:val="center"/>
      </w:pPr>
      <w:r>
        <w:rPr>
          <w:sz w:val="20"/>
          <w:szCs w:val="20"/>
        </w:rPr>
        <w:t xml:space="preserve">Claim No. CC-2025-LON-000389</w:t>
      </w:r>
    </w:p>
    <w:p>
      <w:pPr>
        <w:spacing w:after="120" w:before="120" w:line="276"/>
        <w:jc w:val="center"/>
      </w:pPr>
      <w:r>
        <w:rPr>
          <w:b/>
          <w:bCs/>
          <w:sz w:val="26"/>
          <w:szCs w:val="26"/>
        </w:rPr>
        <w:t xml:space="preserve">CHRONOLOGY</w:t>
      </w:r>
    </w:p>
    <w:p>
      <w:pPr>
        <w:spacing w:after="200" w:line="276"/>
        <w:jc w:val="center"/>
      </w:pPr>
      <w:r>
        <w:rPr>
          <w:i/>
          <w:iCs/>
          <w:sz w:val="18"/>
          <w:szCs w:val="18"/>
        </w:rPr>
        <w:t xml:space="preserve">(Prepared by the Claimant’s solicitors - for case management purposes)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Reference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Jan 2023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Logistics Services Agreement executed; Initial Term to 11 Jan 2026.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CB/1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Jan 2023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Dedicated capacity (9,000 pallet spaces), 11 operatives and 4 vehicles committed.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 Tennant 5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2023-2024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levels met throughout; no service credits levied.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CB/18-60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Oct 2024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Vantage volumes begin to fall below guaranteed minimum throughput.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 Tennant 8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 Feb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Invoice SL-2025-0188 (£162,416.67) issued; unpaid.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CB/62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 Mar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Invoice SL-2025-0241 (£161,920.00) issued; unpaid.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CB/63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Apr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Invoice SL-2025-0297 (£162,913.33) issued; unpaid.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CB/64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Apr-May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Sutherland chases payment; Vantage states payment “with finance”.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CB/65-74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May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Vantage purports to terminate “for convenience” with immediate effect.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CB/75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 May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Sutherland accepts repudiation as terminating the Agreement; reserves rights.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CB/77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dedicated vehicles redeployed (mitigation).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CB/80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Aug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Halcyon Retail Group takes up part of freed capacity (mitigation).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CB/82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 Aug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Letter before action sent to Vantage.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CB/85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Sep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Vantage’s solicitors (Marlowe Greaves LLP) respond, denying liability.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CB/92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Oct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Claim Form issued in the Circuit Commercial Court.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Oct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Particulars of Claim served.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Dec 2025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Defence served.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Feb 2026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Case Management Conference; directions to trial given.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 2027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Trial window (5-day estimate).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200" w:hanging="6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200" w:hanging="60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800" w:hanging="6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2026-06-25T12:34:30.675Z</dcterms:created>
  <dcterms:modified xsi:type="dcterms:W3CDTF">2026-06-25T12:34:30.675Z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