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b/>
          <w:bCs/>
          <w:sz w:val="18"/>
          <w:szCs w:val="18"/>
        </w:rPr>
        <w:t xml:space="preserve">PRIVILEGED &amp; CONFIDENTIAL — LEGALLY PRIVILEGED ADVICE</w:t>
      </w:r>
    </w:p>
    <w:p>
      <w:pPr>
        <w:pStyle w:val="Heading1"/>
      </w:pPr>
      <w:r>
        <w:t xml:space="preserve">Advice on merits and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sz w:val="20"/>
                <w:szCs w:val="20"/>
              </w:rPr>
              <w:t xml:space="preserve">Matter</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Whitcombe v Sutherland Logistics Limited (WC-00119)</w:t>
            </w:r>
          </w:p>
        </w:tc>
      </w:tr>
      <w:tr>
        <w:tc>
          <w:tcPr>
            <w:tcW w:type="dxa" w:w="23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sz w:val="20"/>
                <w:szCs w:val="20"/>
              </w:rPr>
              <w:t xml:space="preserve">Case number</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1304562/2026 (Birmingham ET)</w:t>
            </w:r>
          </w:p>
        </w:tc>
      </w:tr>
      <w:tr>
        <w:tc>
          <w:tcPr>
            <w:tcW w:type="dxa" w:w="23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sz w:val="20"/>
                <w:szCs w:val="20"/>
              </w:rPr>
              <w:t xml:space="preserve">To</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Gordon Sutherland (MD); Lesley Crane (FD); Diane Pryor (HR Manager)</w:t>
            </w:r>
          </w:p>
        </w:tc>
      </w:tr>
      <w:tr>
        <w:tc>
          <w:tcPr>
            <w:tcW w:type="dxa" w:w="23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sz w:val="20"/>
                <w:szCs w:val="20"/>
              </w:rPr>
              <w:t xml:space="preserve">From</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Sarah Whitfield, Partner; Tom Gallagher, Associate</w:t>
            </w:r>
          </w:p>
        </w:tc>
      </w:tr>
      <w:tr>
        <w:tc>
          <w:tcPr>
            <w:tcW w:type="dxa" w:w="23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sz w:val="20"/>
                <w:szCs w:val="20"/>
              </w:rPr>
              <w:t xml:space="preserve">Date</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24 April 2026</w:t>
            </w:r>
          </w:p>
        </w:tc>
      </w:tr>
    </w:tbl>
    <w:p>
      <w:pPr>
        <w:spacing w:after="120"/>
      </w:pPr>
    </w:p>
    <w:p>
      <w:pPr>
        <w:pStyle w:val="Heading2"/>
      </w:pPr>
      <w:r>
        <w:t xml:space="preserve">1. Summary of advice</w:t>
      </w:r>
    </w:p>
    <w:p>
      <w:pPr>
        <w:spacing w:after="120" w:line="276"/>
      </w:pPr>
      <w:r>
        <w:t xml:space="preserve">In our view the Company has a reasonably strong case that the dismissal was by reason of redundancy and was procedurally fair, but the section 103A (whistleblowing) limb introduces real and asymmetric risk: if the Tribunal finds the dismissal was automatically unfair on that ground, the statutory cap on the compensatory award does not apply, and the Claimant’s pleaded losses (£163,369) would be largely uncapped. On a broad assessment we put the Company’s prospects of defeating the section 103A claim at around 60–65%. We recommend authorising settlement in the region of £90,000–£115,000, which is well below the Company’s worst-case exposure.</w:t>
      </w:r>
    </w:p>
    <w:p>
      <w:pPr>
        <w:pStyle w:val="Heading2"/>
      </w:pPr>
      <w:r>
        <w:t xml:space="preserve">2. The redundancy defence</w:t>
      </w:r>
    </w:p>
    <w:p>
      <w:pPr>
        <w:spacing w:after="120" w:line="276"/>
      </w:pPr>
      <w:r>
        <w:t xml:space="preserve">The commercial driver for the reorganisation (the loss of the Halcyon ambient contract and the resulting fall in Coleshill throughput) is well documented and credible. The selection pool of two was defensible, the criteria were objective, and the scores were prepared by two managers independently. The three-meeting consultation process and the (declined) offer of an appeal will assist on procedural fairness. On the ordinary unfair dismissal claim alone we would be reasonably confident.</w:t>
      </w:r>
    </w:p>
    <w:p>
      <w:pPr>
        <w:pStyle w:val="Heading2"/>
      </w:pPr>
      <w:r>
        <w:t xml:space="preserve">3. The whistleblowing risk</w:t>
      </w:r>
    </w:p>
    <w:p>
      <w:pPr>
        <w:spacing w:after="120" w:line="276"/>
      </w:pPr>
      <w:r>
        <w:t xml:space="preserve">The difficulty is the timing. The Claimant raised his concerns about vehicle maintenance and tachograph records on 9 September 2025, and the redundancy consultation began on 1 December 2025 — under three months later. The Claimant will argue that the proximity, combined with the fact that the concerns implicated the same Operations Director who sat on the selection panel, supports an inference that the disclosures were a material influence on his selection. The burden under section 48(2) ERA 1996 effectively requires the Company to show that the disclosures played no part in the treatment. The Operations Director will be a critical witness; his contemporaneous notes are helpful but his oral evidence will be tested hard.</w:t>
      </w:r>
    </w:p>
    <w:p>
      <w:pPr>
        <w:spacing w:after="120" w:line="276"/>
      </w:pPr>
      <w:r>
        <w:t xml:space="preserve">There is also a discrete question of whether the September concerns were ‘qualifying disclosures’ (i.e. tending to show breach of a legal obligation / endangerment of health and safety). We think they probably were, given the DVSA implications, so we would not advise resting the defence on that point.</w:t>
      </w:r>
    </w:p>
    <w:p>
      <w:pPr>
        <w:pStyle w:val="Heading2"/>
      </w:pPr>
      <w:r>
        <w:t xml:space="preserve">4. Quantum and the Schedule of Loss</w:t>
      </w:r>
    </w:p>
    <w:p>
      <w:pPr>
        <w:spacing w:after="120" w:line="276"/>
      </w:pPr>
      <w:r>
        <w:t xml:space="preserve">The Schedule of Loss claims £163,369 (see the schedule prepared by the Claimant’s advisers). It is, in our view, overstated: it assumes 18 months’ loss with no early mitigation, claims a full pension loss figure on a simplistic basis, and seeks a 25% ACAS uplift and aggravated damages that are unlikely to be awarded in full. A realistic ‘risk-adjusted’ exposure, weighting the c.35–40% chance of an uncapped finding, is in the order of £95,000–£130,000 inclusive of costs risk.</w:t>
      </w:r>
    </w:p>
    <w:p>
      <w:pPr>
        <w:pStyle w:val="Heading2"/>
      </w:pPr>
      <w:r>
        <w:t xml:space="preserve">5. Recommendation</w:t>
      </w:r>
    </w:p>
    <w:p>
      <w:pPr>
        <w:spacing w:after="120" w:line="276"/>
      </w:pPr>
      <w:r>
        <w:t xml:space="preserve">We recommend: (a) maintaining the robust ET3 already filed; (b) opening settlement discussions through Acas with an initial without prejudice offer of around £85,000; and (c) seeking authority to settle up to £115,000 plus a modest costs contribution and an agreed reference. Settlement at that level removes the uncapped tail risk and the management time of a five-day hearing, and we consider it clearly in the Company’s interests.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color w:val="808080"/>
        <w:sz w:val="13"/>
        <w:szCs w:val="13"/>
      </w:rPr>
      <w:t xml:space="preserve">Whitfield Carter LLP is a limited liability partnership registered in England and Wales (OC418302). Authorised and regulated by the Solicitors Regulation Authority.</w:t>
    </w:r>
  </w:p>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2026-06-25T14:58:15.594Z</dcterms:created>
  <dcterms:modified xsi:type="dcterms:W3CDTF">2026-06-25T14:58:15.594Z</dcterms:modified>
</cp:coreProperties>
</file>

<file path=docProps/custom.xml><?xml version="1.0" encoding="utf-8"?>
<Properties xmlns="http://schemas.openxmlformats.org/officeDocument/2006/custom-properties" xmlns:vt="http://schemas.openxmlformats.org/officeDocument/2006/docPropsVTypes"/>
</file>