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line="276"/>
        <w:jc w:val="center"/>
      </w:pPr>
      <w:r>
        <w:rPr>
          <w:b/>
          <w:bCs/>
          <w:sz w:val="18"/>
          <w:szCs w:val="18"/>
        </w:rPr>
        <w:t xml:space="preserve">PRIVILEGED &amp; CONFIDENTIAL — PREPARED FOR THE PURPOSE OF LITIGATION</w:t>
      </w:r>
    </w:p>
    <w:p>
      <w:pPr>
        <w:pStyle w:val="Heading1"/>
      </w:pPr>
      <w:r>
        <w:t xml:space="preserve">Chronology</w:t>
      </w:r>
    </w:p>
    <w:p>
      <w:pPr>
        <w:spacing w:after="120" w:line="276"/>
      </w:pPr>
      <w:r>
        <w:rPr>
          <w:b/>
          <w:bCs/>
        </w:rPr>
        <w:t xml:space="preserve">R Whitcombe v Sutherland Logistics Limited — Case No. 1304562/2026</w:t>
      </w:r>
    </w:p>
    <w:p>
      <w:pPr>
        <w:spacing w:after="120" w:line="276"/>
      </w:pPr>
      <w:r>
        <w:rPr>
          <w:sz w:val="18"/>
          <w:szCs w:val="18"/>
        </w:rPr>
        <w:t xml:space="preserve">Prepared by: Tom Gallagher   |   Last updated: 12 May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360"/>
        <w:gridCol w:w="1500"/>
      </w:tblGrid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Event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Bundle ref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03.09.2014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Claimant commences employment as Depot Supervisor, Coleshill.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CB/1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01.04.2019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Claimant promoted to Regional Depot Manager (Midlands); salary £71,000.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CB/4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07.2025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Respondent notified of loss of Halcyon Retail ambient contract (effective Oct 2025).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CB/11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09.09.2025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Claimant emails Operations Director raising concerns about vehicle maintenance records at Coleshill (alleged protected disclosure 1).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CB/18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24.09.2025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Internal review of maintenance logs commissioned; interim findings recorded.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CB/21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15.10.2025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Halcyon contract ends; Coleshill throughput down c.28%.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CB/24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01.12.2025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Redundancy consultation commenced; pool of two (Claimant and K Driscoll).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CB/30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08.12.2025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First consultation meeting; selection criteria explained.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CB/33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15.12.2025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Selection scoring completed (Claimant 41; Driscoll 47).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CB/36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18.12.2025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Second consultation meeting; provisional selection of Claimant.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CB/39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08.01.2026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Third consultation meeting; alternatives considered, none suitable.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CB/42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16.01.2026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Claimant dismissed by reason of redundancy; PILON and £9,990 statutory redundancy paid; appeal offered and declined.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CB/45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10.02.2026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Acas early conciliation commenced.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CB/50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10.03.2026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Acas EC certificate issued.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CB/51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18.03.2026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ET1 presented to Birmingham Employment Tribunal.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CB/52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08.04.2026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ET3 and Grounds of Resistance filed.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CB/60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17.04.2026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Claimant’s Schedule of Loss served (£163,369).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CB/63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30.04.2026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Respondent’s without prejudice settlement offer (£85,000).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WP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05.06.2026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Settlement agreement executed (£108,000); claim to be withdrawn.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SA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1"/>
      </w:pBdr>
      <w:spacing w:before="60"/>
      <w:jc w:val="center"/>
    </w:pPr>
    <w:r>
      <w:rPr>
        <w:color w:val="808080"/>
        <w:sz w:val="13"/>
        <w:szCs w:val="13"/>
      </w:rPr>
      <w:t xml:space="preserve">Whitfield Carter LLP is a limited liability partnership registered in England and Wales (OC418302). Authorised and regulated by the Solicitors Regulation Authority.</w:t>
    </w:r>
  </w:p>
  <w:p>
    <w:pPr>
      <w:jc w:val="center"/>
    </w:pPr>
    <w:r>
      <w:rPr>
        <w:color w:val="808080"/>
        <w:sz w:val="14"/>
        <w:szCs w:val="14"/>
      </w:rPr>
      <w:t xml:space="preserve">Page </w:t>
    </w:r>
    <w:r>
      <w:rPr>
        <w:color w:val="808080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4"/>
        <w:szCs w:val="14"/>
      </w:rPr>
      <w:t xml:space="preserve"> of </w:t>
    </w:r>
    <w:r>
      <w:rPr>
        <w:color w:val="808080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2026-06-25T14:58:15.575Z</dcterms:created>
  <dcterms:modified xsi:type="dcterms:W3CDTF">2026-06-25T14:58:15.575Z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