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b/>
          <w:bCs/>
        </w:rPr>
        <w:t xml:space="preserve">IN THE BIRMINGHAM EMPLOYMENT TRIBUNAL</w:t>
      </w:r>
    </w:p>
    <w:p>
      <w:pPr>
        <w:spacing w:after="160" w:line="276"/>
        <w:jc w:val="center"/>
      </w:pPr>
      <w:r>
        <w:t xml:space="preserve">Case Number: 1304562/2026</w:t>
      </w:r>
    </w:p>
    <w:p>
      <w:pPr>
        <w:spacing w:after="120" w:line="276"/>
      </w:pPr>
      <w:r>
        <w:t xml:space="preserve">B E T W E E N:</w:t>
      </w:r>
    </w:p>
    <w:p>
      <w:pPr>
        <w:spacing w:after="20" w:line="276"/>
        <w:jc w:val="center"/>
      </w:pPr>
      <w:r>
        <w:rPr>
          <w:b/>
          <w:bCs/>
        </w:rPr>
        <w:t xml:space="preserve">MR RAYMOND WHITCOMBE</w:t>
      </w:r>
    </w:p>
    <w:p>
      <w:pPr>
        <w:spacing w:after="60" w:line="276"/>
        <w:jc w:val="right"/>
      </w:pPr>
      <w:r>
        <w:t xml:space="preserve">Claimant</w:t>
      </w:r>
    </w:p>
    <w:p>
      <w:pPr>
        <w:spacing w:after="60" w:line="276"/>
        <w:jc w:val="center"/>
      </w:pPr>
      <w:r>
        <w:t xml:space="preserve">- and -</w:t>
      </w:r>
    </w:p>
    <w:p>
      <w:pPr>
        <w:spacing w:after="20" w:line="276"/>
        <w:jc w:val="center"/>
      </w:pPr>
      <w:r>
        <w:rPr>
          <w:b/>
          <w:bCs/>
        </w:rPr>
        <w:t xml:space="preserve">SUTHERLAND LOGISTICS LIMITED</w:t>
      </w:r>
    </w:p>
    <w:p>
      <w:pPr>
        <w:spacing w:after="160" w:line="276"/>
        <w:jc w:val="right"/>
      </w:pPr>
      <w:r>
        <w:t xml:space="preserve">Respondent</w:t>
      </w:r>
    </w:p>
    <w:p>
      <w:pPr>
        <w:spacing w:after="60" w:line="276"/>
        <w:jc w:val="center"/>
      </w:pPr>
      <w:r>
        <w:rPr>
          <w:b/>
          <w:bCs/>
        </w:rPr>
        <w:t xml:space="preserve">GROUNDS OF RESISTANCE</w:t>
      </w:r>
    </w:p>
    <w:p>
      <w:pPr>
        <w:pBdr>
          <w:bottom w:val="single" w:color="1F3864" w:sz="6" w:space="2"/>
        </w:pBdr>
        <w:spacing w:after="200"/>
        <w:jc w:val="center"/>
      </w:pPr>
      <w:r>
        <w:t xml:space="preserve"/>
      </w:r>
    </w:p>
    <w:p>
      <w:pPr>
        <w:spacing w:after="60" w:before="140"/>
      </w:pPr>
      <w:r>
        <w:rPr>
          <w:b/>
          <w:bCs/>
        </w:rPr>
        <w:t xml:space="preserve">1.  </w:t>
      </w:r>
      <w:r>
        <w:rPr>
          <w:b/>
          <w:bCs/>
        </w:rPr>
        <w:t xml:space="preserve">Introduction</w:t>
      </w:r>
    </w:p>
    <w:p>
      <w:pPr>
        <w:spacing w:after="120" w:line="276"/>
        <w:ind w:left="360"/>
      </w:pPr>
      <w:r>
        <w:t xml:space="preserve">Save where expressly admitted below, the Respondent denies each and every allegation in the Claimant’s ET1 and grounds of complaint as if the same were set out and traversed seriatim. References to paragraph numbers are to the Claimant’s grounds of complaint.</w:t>
      </w:r>
    </w:p>
    <w:p>
      <w:pPr>
        <w:spacing w:after="60" w:before="140"/>
      </w:pPr>
      <w:r>
        <w:rPr>
          <w:b/>
          <w:bCs/>
        </w:rPr>
        <w:t xml:space="preserve">2.  </w:t>
      </w:r>
      <w:r>
        <w:rPr>
          <w:b/>
          <w:bCs/>
        </w:rPr>
        <w:t xml:space="preserve">The Claimant’s employment</w:t>
      </w:r>
    </w:p>
    <w:p>
      <w:pPr>
        <w:spacing w:after="120" w:line="276"/>
        <w:ind w:left="360"/>
      </w:pPr>
      <w:r>
        <w:t xml:space="preserve">It is admitted that the Claimant was employed by the Respondent from 3 September 2014 until 16 January 2026, latterly as Regional Depot Manager (Midlands) based at the Respondent’s Coleshill distribution centre, at an annual salary of £78,500. It is admitted that the Claimant had more than two years’ continuous service.</w:t>
      </w:r>
    </w:p>
    <w:p>
      <w:pPr>
        <w:spacing w:after="60" w:before="140"/>
      </w:pPr>
      <w:r>
        <w:rPr>
          <w:b/>
          <w:bCs/>
        </w:rPr>
        <w:t xml:space="preserve">3.  </w:t>
      </w:r>
      <w:r>
        <w:rPr>
          <w:b/>
          <w:bCs/>
        </w:rPr>
        <w:t xml:space="preserve">The reorganisation</w:t>
      </w:r>
    </w:p>
    <w:p>
      <w:pPr>
        <w:spacing w:after="120" w:line="276"/>
        <w:ind w:left="360"/>
      </w:pPr>
      <w:r>
        <w:t xml:space="preserve">In the autumn of 2025 the Respondent undertook a review of its Midlands operations in response to the loss of a significant customer contract (the Halcyon Retail Group ambient account) and a fall in throughput at the Coleshill site. As a result, the Respondent determined that the two existing depot management roles in the Midlands region (Regional Depot Manager and Depot Operations Manager) should be reduced to a single combined role. This was a genuine redundancy situation within the meaning of section 139 of the Employment Rights Act 1996.</w:t>
      </w:r>
    </w:p>
    <w:p>
      <w:pPr>
        <w:spacing w:after="60" w:before="140"/>
      </w:pPr>
      <w:r>
        <w:rPr>
          <w:b/>
          <w:bCs/>
        </w:rPr>
        <w:t xml:space="preserve">4.  </w:t>
      </w:r>
      <w:r>
        <w:rPr>
          <w:b/>
          <w:bCs/>
        </w:rPr>
        <w:t xml:space="preserve">The redundancy process</w:t>
      </w:r>
    </w:p>
    <w:p>
      <w:pPr>
        <w:spacing w:after="120" w:line="276"/>
        <w:ind w:left="360"/>
      </w:pPr>
      <w:r>
        <w:t xml:space="preserve">The Respondent commenced a consultation process on 1 December 2025. The Claimant and one comparator, Mr K Driscoll, were placed in a selection pool of two. Selection was carried out against objective criteria (skills, performance, disciplinary record and breadth of experience) scored by two managers independently. The Claimant scored 41 and Mr Driscoll scored 47. The Claimant was provisionally selected for redundancy. The Respondent held three consultation meetings with the Claimant, considered alternatives to dismissal including the single combined role (for which Mr Driscoll was the stronger candidate), and searched for suitable alternative employment. No suitable alternative role was available.</w:t>
      </w:r>
    </w:p>
    <w:p>
      <w:pPr>
        <w:spacing w:after="60" w:before="140"/>
      </w:pPr>
      <w:r>
        <w:rPr>
          <w:b/>
          <w:bCs/>
        </w:rPr>
        <w:t xml:space="preserve">5.  </w:t>
      </w:r>
      <w:r>
        <w:rPr>
          <w:b/>
          <w:bCs/>
        </w:rPr>
        <w:t xml:space="preserve">Dismissal</w:t>
      </w:r>
    </w:p>
    <w:p>
      <w:pPr>
        <w:spacing w:after="120" w:line="276"/>
        <w:ind w:left="360"/>
      </w:pPr>
      <w:r>
        <w:t xml:space="preserve">The Claimant was given notice of dismissal by reason of redundancy on 16 January 2026, with a payment in lieu of notice and a statutory redundancy payment of £9,990. The Claimant was offered, and declined to exercise, a right of appeal.</w:t>
      </w:r>
    </w:p>
    <w:p>
      <w:pPr>
        <w:spacing w:after="60" w:before="140"/>
      </w:pPr>
      <w:r>
        <w:rPr>
          <w:b/>
          <w:bCs/>
        </w:rPr>
        <w:t xml:space="preserve">6.  </w:t>
      </w:r>
      <w:r>
        <w:rPr>
          <w:b/>
          <w:bCs/>
        </w:rPr>
        <w:t xml:space="preserve">The protected disclosure allegation</w:t>
      </w:r>
    </w:p>
    <w:p>
      <w:pPr>
        <w:spacing w:after="120" w:line="276"/>
        <w:ind w:left="360"/>
      </w:pPr>
      <w:r>
        <w:t xml:space="preserve">The Claimant alleges that he made protected disclosures concerning the recording of vehicle maintenance and tachograph data, and that the reason or principal reason for his dismissal was those disclosures. The Respondent’s position is as follows: (a) it is denied that the matters relied upon amounted to qualifying disclosures within section 43B ERA 1996; (b) insofar as the Claimant raised operational concerns in September 2025, those concerns were investigated and addressed, and were not the reason or any part of the reason for his selection; and (c) the decision-makers in the redundancy process were not motivated, consciously or otherwise, by any disclosure. The reason for the dismissal was redundancy and nothing else.</w:t>
      </w:r>
    </w:p>
    <w:p>
      <w:pPr>
        <w:spacing w:after="60" w:before="140"/>
      </w:pPr>
      <w:r>
        <w:rPr>
          <w:b/>
          <w:bCs/>
        </w:rPr>
        <w:t xml:space="preserve">7.  </w:t>
      </w:r>
      <w:r>
        <w:rPr>
          <w:b/>
          <w:bCs/>
        </w:rPr>
        <w:t xml:space="preserve">Detriment (section 47B ERA 1996)</w:t>
      </w:r>
    </w:p>
    <w:p>
      <w:pPr>
        <w:spacing w:after="120" w:line="276"/>
        <w:ind w:left="360"/>
      </w:pPr>
      <w:r>
        <w:t xml:space="preserve">It is denied that the Claimant was subjected to any detriment on the ground that he made a protected disclosure. The matters pleaded at paragraphs 18–22 of the grounds of complaint are denied; insofar as any of them occurred, they were ordinary incidents of the reorganisation and were not done on the prohibited ground.</w:t>
      </w:r>
    </w:p>
    <w:p>
      <w:pPr>
        <w:spacing w:after="60" w:before="140"/>
      </w:pPr>
      <w:r>
        <w:rPr>
          <w:b/>
          <w:bCs/>
        </w:rPr>
        <w:t xml:space="preserve">8.  </w:t>
      </w:r>
      <w:r>
        <w:rPr>
          <w:b/>
          <w:bCs/>
        </w:rPr>
        <w:t xml:space="preserve">Unfair dismissal (sections 98 and 103A)</w:t>
      </w:r>
    </w:p>
    <w:p>
      <w:pPr>
        <w:spacing w:after="120" w:line="276"/>
        <w:ind w:left="360"/>
      </w:pPr>
      <w:r>
        <w:t xml:space="preserve">The reason for the dismissal was redundancy, a potentially fair reason under section 98(2)(c) ERA 1996. The Respondent acted reasonably in treating that reason as sufficient to dismiss, and followed a fair procedure. The claim of automatically unfair dismissal under section 103A is denied in its entirety.</w:t>
      </w:r>
    </w:p>
    <w:p>
      <w:pPr>
        <w:spacing w:after="60" w:before="140"/>
      </w:pPr>
      <w:r>
        <w:rPr>
          <w:b/>
          <w:bCs/>
        </w:rPr>
        <w:t xml:space="preserve">9.  </w:t>
      </w:r>
      <w:r>
        <w:rPr>
          <w:b/>
          <w:bCs/>
        </w:rPr>
        <w:t xml:space="preserve">Remedy and mitigation</w:t>
      </w:r>
    </w:p>
    <w:p>
      <w:pPr>
        <w:spacing w:after="120" w:line="276"/>
        <w:ind w:left="360"/>
      </w:pPr>
      <w:r>
        <w:t xml:space="preserve">If (which is denied) the Claimant succeeds, the Respondent puts the Claimant to proof of his losses and avers that the Schedule of Loss is overstated. The Claimant has failed to take reasonable steps to mitigate his loss; the West Midlands logistics labour market contained a number of comparable vacancies during the relevant period. Any award should reflect the chance that the Claimant would have been fairly dismissed in any event (Polkey), and any compensatory award is subject to the statutory cap save in respect of the section 103A claim.</w:t>
      </w:r>
    </w:p>
    <w:p>
      <w:pPr>
        <w:spacing w:after="60" w:before="140"/>
      </w:pPr>
      <w:r>
        <w:rPr>
          <w:b/>
          <w:bCs/>
        </w:rPr>
        <w:t xml:space="preserve">10.  </w:t>
      </w:r>
      <w:r>
        <w:rPr>
          <w:b/>
          <w:bCs/>
        </w:rPr>
        <w:t xml:space="preserve">Conclusion</w:t>
      </w:r>
    </w:p>
    <w:p>
      <w:pPr>
        <w:spacing w:after="120" w:line="276"/>
        <w:ind w:left="360"/>
      </w:pPr>
      <w:r>
        <w:t xml:space="preserve">For the reasons set out above, the Respondent invites the Tribunal to dismiss the claim in its entirety.</w:t>
      </w:r>
    </w:p>
    <w:p>
      <w:pPr>
        <w:spacing w:after="200"/>
      </w:pPr>
    </w:p>
    <w:p>
      <w:pPr>
        <w:spacing w:after="120" w:line="276"/>
      </w:pPr>
      <w:r>
        <w:rPr>
          <w:b/>
          <w:bCs/>
        </w:rPr>
        <w:t xml:space="preserve">Statement of Truth</w:t>
      </w:r>
    </w:p>
    <w:p>
      <w:pPr>
        <w:spacing w:after="120" w:line="276"/>
      </w:pPr>
      <w:r>
        <w:t xml:space="preserve">The Respondent believes that the facts stated in these Grounds of Resistance are true. The Respondent understands that proceedings for contempt of court may be brought against anyone who makes, or causes to be made, a false statement in a document verified by a statement of truth without an honest belief in its truth.</w:t>
      </w:r>
    </w:p>
    <w:p>
      <w:pPr>
        <w:spacing w:after="20" w:line="276"/>
      </w:pPr>
      <w:r>
        <w:t xml:space="preserve">Signed: ............................................   (Tom Gallagher, Whitfield Carter LLP, solicitors for the Respondent)</w:t>
      </w:r>
    </w:p>
    <w:p>
      <w:pPr>
        <w:spacing w:after="120" w:line="276"/>
      </w:pPr>
      <w:r>
        <w:t xml:space="preserve">Dated: 8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2026-06-25T14:58:15.564Z</dcterms:created>
  <dcterms:modified xsi:type="dcterms:W3CDTF">2026-06-25T14:58:15.564Z</dcterms:modified>
</cp:coreProperties>
</file>

<file path=docProps/custom.xml><?xml version="1.0" encoding="utf-8"?>
<Properties xmlns="http://schemas.openxmlformats.org/officeDocument/2006/custom-properties" xmlns:vt="http://schemas.openxmlformats.org/officeDocument/2006/docPropsVTypes"/>
</file>