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60"/>
        <w:jc w:val="right"/>
      </w:pPr>
      <w:r>
        <w:rPr>
          <w:color w:val="595959"/>
          <w:sz w:val="18"/>
          <w:szCs w:val="18"/>
        </w:rPr>
        <w:t xml:space="preserve">Our ref: SW/EM/SUTH-0119</w:t>
      </w:r>
    </w:p>
    <w:p>
      <w:pPr>
        <w:spacing w:after="60"/>
        <w:jc w:val="right"/>
      </w:pPr>
      <w:r>
        <w:rPr>
          <w:color w:val="595959"/>
          <w:sz w:val="18"/>
          <w:szCs w:val="18"/>
        </w:rPr>
        <w:t xml:space="preserve">Date: 21 March 2026</w:t>
      </w:r>
    </w:p>
    <w:p>
      <w:pPr>
        <w:spacing w:after="120" w:line="276"/>
      </w:pPr>
      <w:r>
        <w:rPr>
          <w:b/>
          <w:bCs/>
        </w:rPr>
        <w:t xml:space="preserve">STRICTLY PRIVATE &amp; CONFIDENTIAL</w:t>
      </w:r>
    </w:p>
    <w:p>
      <w:pPr>
        <w:spacing w:after="0" w:line="276"/>
      </w:pPr>
      <w:r>
        <w:t xml:space="preserve">Mr Gordon Sutherland</w:t>
      </w:r>
    </w:p>
    <w:p>
      <w:pPr>
        <w:spacing w:after="0" w:line="276"/>
      </w:pPr>
      <w:r>
        <w:t xml:space="preserve">Managing Director</w:t>
      </w:r>
    </w:p>
    <w:p>
      <w:pPr>
        <w:spacing w:after="0" w:line="276"/>
      </w:pPr>
      <w:r>
        <w:t xml:space="preserve">Sutherland Logistics Limited</w:t>
      </w:r>
    </w:p>
    <w:p>
      <w:pPr>
        <w:spacing w:after="0" w:line="276"/>
      </w:pPr>
      <w:r>
        <w:t xml:space="preserve">Sutherland House, Calder Park</w:t>
      </w:r>
    </w:p>
    <w:p>
      <w:pPr>
        <w:spacing w:after="200" w:line="276"/>
      </w:pPr>
      <w:r>
        <w:t xml:space="preserve">Wakefield WF2 7AW</w:t>
      </w:r>
    </w:p>
    <w:p>
      <w:pPr>
        <w:spacing w:after="120" w:line="276"/>
      </w:pPr>
      <w:r>
        <w:t xml:space="preserve">Dear Gordon</w:t>
      </w:r>
    </w:p>
    <w:p>
      <w:pPr>
        <w:spacing w:after="120" w:line="276"/>
      </w:pPr>
      <w:r>
        <w:rPr>
          <w:b/>
          <w:bCs/>
        </w:rPr>
        <w:t xml:space="preserve">Re: Raymond Whitcombe — Employment Tribunal claim (Case No. 1304562/2026) — terms of engagement</w:t>
      </w:r>
    </w:p>
    <w:p>
      <w:pPr>
        <w:spacing w:after="120" w:line="276"/>
      </w:pPr>
      <w:r>
        <w:t xml:space="preserve">Thank you for instructing Whitfield Carter LLP in connection with the Employment Tribunal claim presented by Mr Raymond Whitcombe following the termination of his employment on 16 January 2026. This letter, together with our enclosed standard terms of business, sets out the basis on which we will act for the Company.</w:t>
      </w:r>
    </w:p>
    <w:p>
      <w:pPr>
        <w:pStyle w:val="Heading2"/>
      </w:pPr>
      <w:r>
        <w:t xml:space="preserve">Scope of our work</w:t>
      </w:r>
    </w:p>
    <w:p>
      <w:pPr>
        <w:spacing w:after="120" w:line="276"/>
      </w:pPr>
      <w:r>
        <w:t xml:space="preserve">We will: (i) review the ET1 claim form and the documents you have provided; (ii) advise on the merits of, and the Company’s exposure in, the claim, in particular the allegation of automatically unfair dismissal under section 103A of the Employment Rights Act 1996 (whistleblowing); (iii) prepare and lodge the Company’s response (ET3) and grounds of resistance; (iv) advise on and conduct without prejudice settlement discussions, including through Acas where appropriate; and (v) if the matter does not settle, represent the Company through to the final hearing in the Birmingham Employment Tribunal, instructing counsel as required.</w:t>
      </w:r>
    </w:p>
    <w:p>
      <w:pPr>
        <w:pStyle w:val="Heading2"/>
      </w:pPr>
      <w:r>
        <w:t xml:space="preserve">The team</w:t>
      </w:r>
    </w:p>
    <w:p>
      <w:pPr>
        <w:spacing w:after="120" w:line="276"/>
      </w:pPr>
      <w:r>
        <w:t xml:space="preserve">I will have overall conduct of the matter as the responsible partner. I will be assisted by Tom Gallagher (Associate), who will handle much of the day-to-day work, and Elena Marchetti (Associate). Where the matter requires advocacy at a contested hearing we anticipate instructing counsel from Eldon Chambers.</w:t>
      </w:r>
    </w:p>
    <w:p>
      <w:pPr>
        <w:pStyle w:val="Heading2"/>
      </w:pPr>
      <w:r>
        <w:t xml:space="preserve">Fees and estimates</w:t>
      </w:r>
    </w:p>
    <w:p>
      <w:pPr>
        <w:spacing w:after="120" w:line="276"/>
      </w:pPr>
      <w:r>
        <w:t xml:space="preserve">Our charges are based on the time spent on your matter. The current hourly rates (exclusive of VAT) for the team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Fee earner</w:t>
            </w:r>
          </w:p>
        </w:tc>
        <w:tc>
          <w:tcPr>
            <w:tcW w:type="dxa" w:w="39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sz w:val="20"/>
                <w:szCs w:val="20"/>
              </w:rPr>
              <w:t xml:space="preserve">Hourly rate (excl. VAT)</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Sarah Whitfield — Partner</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£560</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Tom Gallagher — Associate</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£345</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Elena Marchetti — Associate</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sz w:val="20"/>
                <w:szCs w:val="20"/>
              </w:rPr>
              <w:t xml:space="preserve">£310</w:t>
            </w:r>
          </w:p>
        </w:tc>
      </w:tr>
    </w:tbl>
    <w:p>
      <w:pPr>
        <w:spacing w:after="120"/>
      </w:pPr>
    </w:p>
    <w:p>
      <w:pPr>
        <w:spacing w:after="120" w:line="276"/>
      </w:pPr>
      <w:r>
        <w:t xml:space="preserve">We estimate our fees to the conclusion of the response and an initial round of settlement discussions will be in the region of £18,000 to £26,000 plus VAT and disbursements. Should the matter proceed to a contested final hearing, our fees together with counsel’s brief fee would be materially higher, and we would provide a separate estimate at the appropriate stage. This is an estimate and not a fixed fee or a cap.</w:t>
      </w:r>
    </w:p>
    <w:p>
      <w:pPr>
        <w:pStyle w:val="Heading2"/>
      </w:pPr>
      <w:r>
        <w:t xml:space="preserve">Billing</w:t>
      </w:r>
    </w:p>
    <w:p>
      <w:pPr>
        <w:spacing w:after="120" w:line="276"/>
      </w:pPr>
      <w:r>
        <w:t xml:space="preserve">We will bill monthly in arrears. Our invoices are payable within 30 days. We may ask for a payment on account of £7,500 before substantial work is undertaken.</w:t>
      </w:r>
    </w:p>
    <w:p>
      <w:pPr>
        <w:pStyle w:val="Heading2"/>
      </w:pPr>
      <w:r>
        <w:t xml:space="preserve">Confidentiality and conflicts</w:t>
      </w:r>
    </w:p>
    <w:p>
      <w:pPr>
        <w:spacing w:after="120" w:line="276"/>
      </w:pPr>
      <w:r>
        <w:t xml:space="preserve">We have carried out a conflict check and are not aware of any conflict of interest that would prevent us from acting. We will keep your affairs confidential, subject to our professional obligations. We are authorised and regulated by the Solicitors Regulation Authority.</w:t>
      </w:r>
    </w:p>
    <w:p>
      <w:pPr>
        <w:spacing w:after="120" w:line="276"/>
      </w:pPr>
      <w:r>
        <w:t xml:space="preserve">Please confirm your acceptance of these terms by signing and returning the enclosed copy of this letter. We are very pleased to be acting for you again and will be in touch shortly to discuss next steps and the response deadline.</w:t>
      </w:r>
    </w:p>
    <w:p>
      <w:pPr>
        <w:spacing w:after="240" w:line="276"/>
      </w:pPr>
      <w:r>
        <w:t xml:space="preserve">Yours sincerely</w:t>
      </w:r>
    </w:p>
    <w:p>
      <w:pPr>
        <w:spacing w:after="0" w:line="276"/>
      </w:pPr>
      <w:r>
        <w:rPr>
          <w:b/>
          <w:bCs/>
        </w:rPr>
        <w:t xml:space="preserve">Sarah Whitfield</w:t>
      </w:r>
    </w:p>
    <w:p>
      <w:pPr>
        <w:spacing w:after="0" w:line="276"/>
      </w:pPr>
      <w:r>
        <w:t xml:space="preserve">Partner — Employment &amp; Dispute Resolution</w:t>
      </w:r>
    </w:p>
    <w:p>
      <w:pPr>
        <w:spacing w:after="0" w:line="276"/>
      </w:pPr>
      <w:r>
        <w:t xml:space="preserve">For and on behalf of Whitfield Carter LLP</w:t>
      </w:r>
    </w:p>
    <w:p>
      <w:pPr>
        <w:spacing w:after="0" w:line="276"/>
      </w:pPr>
      <w:r>
        <w:rPr>
          <w:sz w:val="18"/>
          <w:szCs w:val="18"/>
        </w:rPr>
        <w:t xml:space="preserve">sarah.whitfield@whitfieldcarter.com   |   +44 (0)20 7946 0521</w:t>
      </w:r>
    </w:p>
    <w:sectPr>
      <w:headerReference w:type="default" r:id="rId7"/>
      <w:footerReference w:type="default" r:id="rId8"/>
      <w:pgSz w:w="12240" w:h="15840"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color w:val="808080"/>
        <w:sz w:val="13"/>
        <w:szCs w:val="13"/>
      </w:rPr>
      <w:t xml:space="preserve">Whitfield Carter LLP is a limited liability partnership registered in England and Wales (OC418302). Authorised and regulated by the Solicitors Regulation Authority.</w:t>
    </w:r>
  </w:p>
  <w:p>
    <w:pPr>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1"/>
      </w:pBdr>
      <w:spacing w:after="120"/>
      <w:jc w:val="right"/>
    </w:pPr>
    <w:r>
      <w:rPr>
        <w:color w:val="595959"/>
        <w:sz w:val="14"/>
        <w:szCs w:val="14"/>
      </w:rPr>
      <w:t xml:space="preserve">T +44 (0)20 7946 0500   |   www.whitfieldcarter.com   |   DX 138760 Bishopsgate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2026-06-25T14:58:15.506Z</dcterms:created>
  <dcterms:modified xsi:type="dcterms:W3CDTF">2026-06-25T14:58:15.506Z</dcterms:modified>
</cp:coreProperties>
</file>

<file path=docProps/custom.xml><?xml version="1.0" encoding="utf-8"?>
<Properties xmlns="http://schemas.openxmlformats.org/officeDocument/2006/custom-properties" xmlns:vt="http://schemas.openxmlformats.org/officeDocument/2006/docPropsVTypes"/>
</file>