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right"/>
      </w:pPr>
      <w:r>
        <w:rPr>
          <w:color w:val="595959"/>
          <w:sz w:val="18"/>
          <w:szCs w:val="18"/>
        </w:rPr>
        <w:t xml:space="preserve">Our ref: SW/EM/SUTH-0119</w:t>
      </w:r>
    </w:p>
    <w:p>
      <w:pPr>
        <w:spacing w:after="60"/>
        <w:jc w:val="right"/>
      </w:pPr>
      <w:r>
        <w:rPr>
          <w:color w:val="595959"/>
          <w:sz w:val="18"/>
          <w:szCs w:val="18"/>
        </w:rPr>
        <w:t xml:space="preserve">Your ref: EB/RW/2261</w:t>
      </w:r>
    </w:p>
    <w:p>
      <w:pPr>
        <w:spacing w:after="60"/>
        <w:jc w:val="right"/>
      </w:pPr>
      <w:r>
        <w:rPr>
          <w:color w:val="595959"/>
          <w:sz w:val="18"/>
          <w:szCs w:val="18"/>
        </w:rPr>
        <w:t xml:space="preserve">Date: 30 April 2026</w:t>
      </w:r>
    </w:p>
    <w:p>
      <w:pPr>
        <w:spacing w:after="40" w:line="276"/>
      </w:pPr>
      <w:r>
        <w:rPr>
          <w:b/>
          <w:bCs/>
        </w:rPr>
        <w:t xml:space="preserve">WITHOUT PREJUDICE</w:t>
      </w:r>
    </w:p>
    <w:p>
      <w:pPr>
        <w:spacing w:after="120" w:line="276"/>
      </w:pPr>
      <w:r>
        <w:rPr>
          <w:b/>
          <w:bCs/>
        </w:rPr>
        <w:t xml:space="preserve">BY EMAIL AND POST</w:t>
      </w:r>
    </w:p>
    <w:p>
      <w:pPr>
        <w:spacing w:after="0" w:line="276"/>
      </w:pPr>
      <w:r>
        <w:t xml:space="preserve">Ms Eleanor Bartlett</w:t>
      </w:r>
    </w:p>
    <w:p>
      <w:pPr>
        <w:spacing w:after="0" w:line="276"/>
      </w:pPr>
      <w:r>
        <w:t xml:space="preserve">Ashworth Quinn LLP</w:t>
      </w:r>
    </w:p>
    <w:p>
      <w:pPr>
        <w:spacing w:after="200" w:line="276"/>
      </w:pPr>
      <w:r>
        <w:t xml:space="preserve">8 Temple Row, Birmingham B2 5HG</w:t>
      </w:r>
    </w:p>
    <w:p>
      <w:pPr>
        <w:spacing w:after="120" w:line="276"/>
      </w:pPr>
      <w:r>
        <w:t xml:space="preserve">Dear Ms Bartlett</w:t>
      </w:r>
    </w:p>
    <w:p>
      <w:pPr>
        <w:spacing w:after="120" w:line="276"/>
      </w:pPr>
      <w:r>
        <w:rPr>
          <w:b/>
          <w:bCs/>
        </w:rPr>
        <w:t xml:space="preserve">Re: R Whitcombe v Sutherland Logistics Limited — Case No. 1304562/2026 — without prejudice</w:t>
      </w:r>
    </w:p>
    <w:p>
      <w:pPr>
        <w:spacing w:after="120" w:line="276"/>
      </w:pPr>
      <w:r>
        <w:t xml:space="preserve">We write further to the case management discussion and to your client’s Schedule of Loss dated 17 April 2026. This letter is written entirely on a without prejudice basis and may not be referred to in the Tribunal or any other proceedings.</w:t>
      </w:r>
    </w:p>
    <w:p>
      <w:pPr>
        <w:spacing w:after="120" w:line="276"/>
      </w:pPr>
      <w:r>
        <w:t xml:space="preserve">Our client does not accept the characterisation of the dismissal set out in the ET1. As you know, the Company’s position is that Mr Whitcombe was dismissed by reason of redundancy following a genuine reorganisation of the Midlands operation, in the course of which two depot management roles were reduced to one. The Company firmly denies that the reason or principal reason for the dismissal was any protected disclosure, and denies that Mr Whitcombe suffered any detriment on that ground.</w:t>
      </w:r>
    </w:p>
    <w:p>
      <w:pPr>
        <w:spacing w:after="120" w:line="276"/>
      </w:pPr>
      <w:r>
        <w:t xml:space="preserve">Nevertheless, our client recognises that litigation of this kind carries cost and risk for both parties, and that there is value in achieving certainty and finality. Our client is therefore prepared, in an attempt to resolve this matter amicably and without any admission of liability, to make the following offer in full and final settlement of all claims:</w:t>
      </w:r>
    </w:p>
    <w:p>
      <w:pPr>
        <w:spacing w:after="120" w:line="276"/>
        <w:ind w:left="480"/>
      </w:pPr>
      <w:r>
        <w:t xml:space="preserve">(a)  a termination payment of £85,000, of which £30,000 would be paid free of tax under sections 401–403 ITEPA 2003 (including the statutory redundancy element) and the balance subject to PAYE;</w:t>
      </w:r>
    </w:p>
    <w:p>
      <w:pPr>
        <w:spacing w:after="120" w:line="276"/>
        <w:ind w:left="480"/>
      </w:pPr>
      <w:r>
        <w:t xml:space="preserve">(b)  a contribution of £10,000 plus VAT towards your client’s legal costs of advising on the settlement agreement;</w:t>
      </w:r>
    </w:p>
    <w:p>
      <w:pPr>
        <w:spacing w:after="120" w:line="276"/>
        <w:ind w:left="480"/>
      </w:pPr>
      <w:r>
        <w:t xml:space="preserve">(c)  an agreed factual reference in the terms enclosed; and</w:t>
      </w:r>
    </w:p>
    <w:p>
      <w:pPr>
        <w:spacing w:after="120" w:line="276"/>
        <w:ind w:left="480"/>
      </w:pPr>
      <w:r>
        <w:t xml:space="preserve">(d)  mutual non-derogatory undertakings and standard confidentiality, recorded in a settlement agreement satisfying the statutory conditions.</w:t>
      </w:r>
    </w:p>
    <w:p>
      <w:pPr>
        <w:spacing w:after="120" w:line="276"/>
      </w:pPr>
      <w:r>
        <w:t xml:space="preserve">We consider this to be a realistic and commercial offer which reflects the litigation risk on both sides. In particular, while your client’s Schedule of Loss is pleaded at £163,369, we note that it makes no reduction for accelerated receipt, for the prospect of the Company establishing a fair redundancy dismissal, or for your client’s duty to mitigate, on which the Company has evidence of comparable vacancies in the West Midlands logistics sector.</w:t>
      </w:r>
    </w:p>
    <w:p>
      <w:pPr>
        <w:spacing w:after="120" w:line="276"/>
      </w:pPr>
      <w:r>
        <w:t xml:space="preserve">This offer is open for acceptance for 21 days from the date of this letter, after which our client reserves the right to withdraw it and to rely on the fact (though not the contents) of correspondence on the question of costs, to the extent permitted under the Tribunal’s costs regime.</w:t>
      </w:r>
    </w:p>
    <w:p>
      <w:pPr>
        <w:spacing w:after="120" w:line="276"/>
      </w:pPr>
      <w:r>
        <w:t xml:space="preserve">We look forward to hearing from you and remain willing to discuss matters by telephone.</w:t>
      </w:r>
    </w:p>
    <w:p>
      <w:pPr>
        <w:spacing w:after="240" w:line="276"/>
      </w:pPr>
      <w:r>
        <w:t xml:space="preserve">Yours sincerely</w:t>
      </w:r>
    </w:p>
    <w:p>
      <w:pPr>
        <w:spacing w:after="120" w:line="276"/>
      </w:pPr>
      <w:r>
        <w:rPr>
          <w:b/>
          <w:bCs/>
        </w:rPr>
        <w:t xml:space="preserve">Whitfield Carter LLP</w:t>
      </w:r>
    </w:p>
    <w:sectPr>
      <w:headerReference w:type="default" r:id="rId7"/>
      <w:footerReference w:type="default" r:id="rId8"/>
      <w:pgSz w:w="12240" w:h="15840"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1"/>
      </w:pBdr>
      <w:spacing w:after="120"/>
      <w:jc w:val="right"/>
    </w:pPr>
    <w:r>
      <w:rPr>
        <w:color w:val="595959"/>
        <w:sz w:val="14"/>
        <w:szCs w:val="14"/>
      </w:rPr>
      <w:t xml:space="preserve">T +44 (0)20 7946 0500   |   www.whitfieldcarter.com   |   DX 138760 Bishopsgate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2026-06-25T14:58:15.549Z</dcterms:created>
  <dcterms:modified xsi:type="dcterms:W3CDTF">2026-06-25T14:58:15.549Z</dcterms:modified>
</cp:coreProperties>
</file>

<file path=docProps/custom.xml><?xml version="1.0" encoding="utf-8"?>
<Properties xmlns="http://schemas.openxmlformats.org/officeDocument/2006/custom-properties" xmlns:vt="http://schemas.openxmlformats.org/officeDocument/2006/docPropsVTypes"/>
</file>