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CPSE.1 (VERSION 3.8)</w:t>
      </w:r>
    </w:p>
    <w:p>
      <w:pPr>
        <w:spacing w:after="60"/>
        <w:jc w:val="center"/>
      </w:pPr>
      <w:r>
        <w:rPr>
          <w:sz w:val="20"/>
          <w:szCs w:val="20"/>
        </w:rPr>
        <w:t xml:space="preserve">General Pre-contract Enquiries for all Commercial Property Transactions — REPLIES</w:t>
      </w:r>
    </w:p>
    <w:p>
      <w:pPr>
        <w:spacing w:after="200"/>
        <w:jc w:val="center"/>
      </w:pPr>
      <w:r>
        <w:rPr>
          <w:color w:val="595959"/>
          <w:sz w:val="18"/>
          <w:szCs w:val="18"/>
        </w:rPr>
        <w:t xml:space="preserve">Property: Cedarbridge Business Park, Reading RG2 0TD  |  Seller: Westgate Trust Estates Limited</w:t>
      </w:r>
    </w:p>
    <w:p>
      <w:pPr>
        <w:spacing w:after="100"/>
      </w:pPr>
      <w:r>
        <w:rPr>
          <w:i/>
          <w:iCs/>
          <w:sz w:val="18"/>
          <w:szCs w:val="18"/>
        </w:rPr>
        <w:t xml:space="preserve">These replies are given by Birchall Stone LLP on behalf of the Seller. The Seller's replies are given in good faith and the Buyer should not rely on them as a substitute for its own searches and inspection.</w:t>
      </w:r>
    </w:p>
    <w:p>
      <w:pPr>
        <w:pStyle w:val="Heading2"/>
      </w:pPr>
      <w:r>
        <w:t xml:space="preserve">1. Boundaries and extent</w:t>
      </w:r>
    </w:p>
    <w:p>
      <w:pPr>
        <w:spacing w:after="100"/>
      </w:pPr>
      <w:r>
        <w:t xml:space="preserve">1.1  The Seller is not aware of any discrepancy between the boundaries shown on the title plan and the physical boundaries on the ground. The estate is enclosed by metal palisade fencing maintained by the Seller as part of the estate service charge.</w:t>
      </w:r>
    </w:p>
    <w:p>
      <w:pPr>
        <w:spacing w:after="100"/>
      </w:pPr>
      <w:r>
        <w:t xml:space="preserve">1.2  No boundary feature is shared with an adjoining owner save the eastern boundary with the railway, which is the responsibility of Network Rail.</w:t>
      </w:r>
    </w:p>
    <w:p>
      <w:pPr>
        <w:pStyle w:val="Heading2"/>
      </w:pPr>
      <w:r>
        <w:t xml:space="preserve">2. Rights benefiting and burdening the Property</w:t>
      </w:r>
    </w:p>
    <w:p>
      <w:pPr>
        <w:spacing w:after="100"/>
      </w:pPr>
      <w:r>
        <w:t xml:space="preserve">2.1  The Property has the benefit of rights of way and rights for service media over the retained estate road, as referred to in the property register. The Seller is not aware of any interference with those rights.</w:t>
      </w:r>
    </w:p>
    <w:p>
      <w:pPr>
        <w:spacing w:after="100"/>
      </w:pPr>
      <w:r>
        <w:t xml:space="preserve">2.2  The Property is burdened by the 1998 deed of covenant with the highway authority relating to the maintenance of the attenuation pond and the estate road, copies of which have been supplied.</w:t>
      </w:r>
    </w:p>
    <w:p>
      <w:pPr>
        <w:pStyle w:val="Heading2"/>
      </w:pPr>
      <w:r>
        <w:t xml:space="preserve">3. Occupiers and employees</w:t>
      </w:r>
    </w:p>
    <w:p>
      <w:pPr>
        <w:spacing w:after="100"/>
      </w:pPr>
      <w:r>
        <w:t xml:space="preserve">3.1  The Property is occupied by the seven tenants listed in the tenancy schedule supplied. There are no other occupiers and no persons in occupation otherwise than under the Existing Leases.</w:t>
      </w:r>
    </w:p>
    <w:p>
      <w:pPr>
        <w:spacing w:after="100"/>
      </w:pPr>
      <w:r>
        <w:t xml:space="preserve">3.2  TUPE: the Seller is not aware of any employees whose employment would transfer to the Buyer on completion. Estate management is provided by a third-party managing agent under a contract terminable on completion.</w:t>
      </w:r>
    </w:p>
    <w:p>
      <w:pPr>
        <w:pStyle w:val="Heading2"/>
      </w:pPr>
      <w:r>
        <w:t xml:space="preserve">4. Disputes and complaints</w:t>
      </w:r>
    </w:p>
    <w:p>
      <w:pPr>
        <w:spacing w:after="100"/>
      </w:pPr>
      <w:r>
        <w:t xml:space="preserve">4.1  Save as set out in reply 4.2, the Seller is not aware of any current or anticipated dispute, claim or complaint relating to the Property or its use.</w:t>
      </w:r>
    </w:p>
    <w:p>
      <w:pPr>
        <w:spacing w:after="100"/>
      </w:pPr>
      <w:r>
        <w:t xml:space="preserve">4.2  The tenant of Unit 5 (Reading Health Partners LLP) has queried the apportionment of the 2024/25 service-charge year (approximately £6,300). The Seller is dealing with the query and expects to resolve it before completion; the Seller will indemnify the Buyer against any shortfall arising from this query.</w:t>
      </w:r>
    </w:p>
    <w:p>
      <w:pPr>
        <w:pStyle w:val="Heading2"/>
      </w:pPr>
      <w:r>
        <w:t xml:space="preserve">5. Notices</w:t>
      </w:r>
    </w:p>
    <w:p>
      <w:pPr>
        <w:spacing w:after="100"/>
      </w:pPr>
      <w:r>
        <w:t xml:space="preserve">5.1  The Seller has not given or received any notice affecting the Property other than routine correspondence with the occupational tenants in the ordinary course of management.</w:t>
      </w:r>
    </w:p>
    <w:p>
      <w:pPr>
        <w:pStyle w:val="Heading2"/>
      </w:pPr>
      <w:r>
        <w:t xml:space="preserve">6. Outgoings and rates</w:t>
      </w:r>
    </w:p>
    <w:p>
      <w:pPr>
        <w:spacing w:after="100"/>
      </w:pPr>
      <w:r>
        <w:t xml:space="preserve">6.1  The Property is assessed for business rates by reference to each separately occupied unit; the tenants are responsible for the rates on their demises. The common parts are recovered through the estate service charge.</w:t>
      </w:r>
    </w:p>
    <w:p>
      <w:pPr>
        <w:pStyle w:val="Heading2"/>
      </w:pPr>
      <w:r>
        <w:t xml:space="preserve">7. Capital allowances</w:t>
      </w:r>
    </w:p>
    <w:p>
      <w:pPr>
        <w:spacing w:after="100"/>
      </w:pPr>
      <w:r>
        <w:t xml:space="preserve">7.1  The Seller has claimed capital allowances on plant and machinery within the common parts. The parties have agreed a fixed-value election under section 198 of the Capital Allowances Act 2001 in the sum of £1, to be entered into on completion.</w:t>
      </w:r>
    </w:p>
    <w:p>
      <w:pPr>
        <w:pStyle w:val="Heading2"/>
      </w:pPr>
      <w:r>
        <w:t xml:space="preserve">8. VAT</w:t>
      </w:r>
    </w:p>
    <w:p>
      <w:pPr>
        <w:spacing w:after="100"/>
      </w:pPr>
      <w:r>
        <w:t xml:space="preserve">8.1  The Seller has exercised an option to tax the Property with effect from 9 February 2023 and has notified that option to HMRC. The sale is intended to be treated as a TOGC and the Seller requires the Buyer to give the TOGC confirmations set out in the contract.</w:t>
      </w:r>
    </w:p>
    <w:p>
      <w:pPr>
        <w:pStyle w:val="Heading2"/>
      </w:pPr>
      <w:r>
        <w:t xml:space="preserve">9. Insurance</w:t>
      </w:r>
    </w:p>
    <w:p>
      <w:pPr>
        <w:spacing w:after="100"/>
      </w:pPr>
      <w:r>
        <w:t xml:space="preserve">9.1  The Property is presently insured by the Seller under a block policy. The Seller will cancel its insurance with effect from exchange, risk passing to the Buyer on exchange in accordance with the contract.</w:t>
      </w:r>
    </w:p>
    <w:p>
      <w:pPr>
        <w:pStyle w:val="Heading2"/>
      </w:pPr>
      <w:r>
        <w:t xml:space="preserve">10. Environmental</w:t>
      </w:r>
    </w:p>
    <w:p>
      <w:pPr>
        <w:spacing w:after="100"/>
      </w:pPr>
      <w:r>
        <w:t xml:space="preserve">10.1  The site was redeveloped in 2006 from a former railway goods yard. A remediation validation certificate was issued on completion of the redevelopment, a copy of which is supplied. The Seller is not aware of any contamination requiring remediation.</w:t>
      </w:r>
    </w:p>
    <w:p>
      <w:r>
        <w:t xml:space="preserve"/>
      </w:r>
    </w:p>
    <w:p>
      <w:pPr>
        <w:spacing w:after="100"/>
      </w:pPr>
      <w:r>
        <w:rPr>
          <w:b/>
          <w:bCs/>
        </w:rPr>
        <w:t xml:space="preserve">Replies given by Birchall Stone LLP, 11 October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0"/>
        <w:szCs w:val="20"/>
      </w:rPr>
      <w:t xml:space="preserve">WHITFIELD CARTER LLP</w:t>
    </w:r>
  </w:p>
  <w:p>
    <w:pPr>
      <w:jc w:val="right"/>
    </w:pPr>
    <w:r>
      <w:rPr>
        <w:color w:val="808080"/>
        <w:sz w:val="16"/>
        <w:szCs w:val="16"/>
      </w:rPr>
      <w:t xml:space="preserve">Project Cedar — CPSE.1 Replies</w:t>
    </w:r>
  </w:p>
  <w:p>
    <w:pPr>
      <w:pBdr>
        <w:bottom w:val="single" w:color="1F3864" w:sz="4"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50" w:hanging="65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20"/>
      <w:outlineLvl w:val="0"/>
    </w:pPr>
    <w:rPr>
      <w:rFonts w:ascii="Arial" w:cs="Arial" w:eastAsia="Arial" w:hAnsi="Arial"/>
      <w:b/>
      <w:bCs/>
      <w:sz w:val="26"/>
      <w:szCs w:val="26"/>
    </w:rPr>
  </w:style>
  <w:style w:type="paragraph" w:styleId="Heading2">
    <w:name w:val="Heading 2"/>
    <w:basedOn w:val="Normal"/>
    <w:next w:val="Normal"/>
    <w:qFormat/>
    <w:pPr>
      <w:spacing w:after="10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2026-06-26T18:48:00.949Z</dcterms:created>
  <dcterms:modified xsi:type="dcterms:W3CDTF">2026-06-26T18:48:00.949Z</dcterms:modified>
</cp:coreProperties>
</file>

<file path=docProps/custom.xml><?xml version="1.0" encoding="utf-8"?>
<Properties xmlns="http://schemas.openxmlformats.org/officeDocument/2006/custom-properties" xmlns:vt="http://schemas.openxmlformats.org/officeDocument/2006/docPropsVTypes"/>
</file>