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color w:val="595959"/>
          <w:sz w:val="18"/>
          <w:szCs w:val="18"/>
        </w:rPr>
        <w:t xml:space="preserve">Our ref: SW/CEDAR/14207</w:t>
      </w:r>
    </w:p>
    <w:p>
      <w:pPr>
        <w:spacing w:after="200"/>
      </w:pPr>
      <w:r>
        <w:t xml:space="preserve">18 September 2025</w:t>
      </w:r>
    </w:p>
    <w:p>
      <w:pPr>
        <w:spacing w:after="100"/>
      </w:pPr>
      <w:r>
        <w:t xml:space="preserve">The Directors</w:t>
      </w:r>
    </w:p>
    <w:p>
      <w:pPr>
        <w:spacing w:after="100"/>
      </w:pPr>
      <w:r>
        <w:t xml:space="preserve">Thornbury Properties Limited</w:t>
      </w:r>
    </w:p>
    <w:p>
      <w:pPr>
        <w:spacing w:after="100"/>
      </w:pPr>
      <w:r>
        <w:t xml:space="preserve">Riverside House, 14 Tilbury Road</w:t>
      </w:r>
    </w:p>
    <w:p>
      <w:pPr>
        <w:spacing w:after="200"/>
      </w:pPr>
      <w:r>
        <w:t xml:space="preserve">London SW6 3HX</w:t>
      </w:r>
    </w:p>
    <w:p>
      <w:pPr>
        <w:spacing w:after="120"/>
      </w:pPr>
      <w:r>
        <w:t xml:space="preserve">Dear Mr Quigley</w:t>
      </w:r>
    </w:p>
    <w:p>
      <w:pPr>
        <w:spacing w:after="160"/>
        <w:jc w:val="center"/>
      </w:pPr>
      <w:r>
        <w:rPr>
          <w:b/>
          <w:bCs/>
        </w:rPr>
        <w:t xml:space="preserve">RE: PROPOSED ACQUISITION OF CEDARBRIDGE BUSINESS PARK, READING (“PROJECT CEDAR”)</w:t>
      </w:r>
    </w:p>
    <w:p>
      <w:pPr>
        <w:spacing w:after="100"/>
      </w:pPr>
      <w:r>
        <w:t xml:space="preserve">Thank you for instructing Whitfield Carter LLP in connection with the proposed acquisition by Thornbury Properties Limited (“the Company”) of the freehold interest in Cedarbridge Business Park, Brunel Way, Reading RG2 0TD (“the Property”) from Westgate Trust Estates Limited (“the Seller”). This letter, together with our enclosed standard terms of business, sets out the basis on which we will act for you on this matter.</w:t>
      </w:r>
    </w:p>
    <w:p>
      <w:pPr>
        <w:pStyle w:val="Heading2"/>
      </w:pPr>
      <w:r>
        <w:t xml:space="preserve">1. Scope of our engagement</w:t>
      </w:r>
    </w:p>
    <w:p>
      <w:pPr>
        <w:spacing w:after="100"/>
      </w:pPr>
      <w:r>
        <w:t xml:space="preserve">We have been instructed to advise on and carry out the legal work necessary to acquire the Property, namely: reviewing the title and the contract package supplied by the Seller's solicitors; raising and reviewing pre-contract enquiries (CPSE) and replies; reviewing the tenancy documentation and apportioning rents and service charge; reporting to you on title and the results of our investigations; negotiating and agreeing the sale contract and transfer; advising on the rent deposit deed in respect of Unit 4; dealing with exchange, completion, payment of Stamp Duty Land Tax (SDLT) and registration of the transfer at HM Land Registry.</w:t>
      </w:r>
    </w:p>
    <w:p>
      <w:pPr>
        <w:spacing w:after="100"/>
      </w:pPr>
      <w:r>
        <w:t xml:space="preserve">This engagement does not include tax structuring advice beyond SDLT compliance, building survey or environmental consultancy, or the negotiation of any new lettings, each of which would be the subject of separate instructions.</w:t>
      </w:r>
    </w:p>
    <w:p>
      <w:pPr>
        <w:pStyle w:val="Heading2"/>
      </w:pPr>
      <w:r>
        <w:t xml:space="preserve">2. Your team</w:t>
      </w:r>
    </w:p>
    <w:p>
      <w:pPr>
        <w:spacing w:after="100"/>
      </w:pPr>
      <w:r>
        <w:t xml:space="preserve">The matter will be led by Sarah Whitfield (Partner), supported by James Osei (Senior Associate) who will have day-to-day conduct, and Elena Marchetti (Associate). Our contact details appear at the foot of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Fee earner</w:t>
            </w:r>
          </w:p>
        </w:tc>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Role</w:t>
            </w:r>
          </w:p>
        </w:tc>
        <w:tc>
          <w:tcPr>
            <w:tcW w:type="dxa" w:w="2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Hourly rate (excl. VAT)</w:t>
            </w:r>
          </w:p>
        </w:tc>
      </w:tr>
      <w:tr>
        <w:trPr>
          <w:tblHeader w:val="false"/>
        </w:trP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Sarah Whitfield</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Partner</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£610</w:t>
            </w:r>
          </w:p>
        </w:tc>
      </w:tr>
      <w:tr>
        <w:trPr>
          <w:tblHeader w:val="false"/>
        </w:trP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James Osei</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Senior Associate</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£430</w:t>
            </w:r>
          </w:p>
        </w:tc>
      </w:tr>
      <w:tr>
        <w:trPr>
          <w:tblHeader w:val="false"/>
        </w:trP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Elena Marchetti</w:t>
            </w:r>
          </w:p>
        </w:tc>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Associate</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£295</w:t>
            </w:r>
          </w:p>
        </w:tc>
      </w:tr>
    </w:tbl>
    <w:p>
      <w:pPr>
        <w:pStyle w:val="Heading2"/>
      </w:pPr>
      <w:r>
        <w:t xml:space="preserve">3. Fees and disbursements</w:t>
      </w:r>
    </w:p>
    <w:p>
      <w:pPr>
        <w:spacing w:after="100"/>
      </w:pPr>
      <w:r>
        <w:t xml:space="preserve">Subject to the matter proceeding to completion without unforeseen complication, we estimate our fees for the work described above at between £36,000 and £44,000 plus VAT. This is an estimate and not a fixed fee; we will notify you promptly if it appears the estimate will be exceeded. Disbursements will include HM Land Registry search and registration fees, Land Registry priority and bankruptcy searches, a local authority and environmental search pack, and the SDLT payable on completion (presently estimated at £706,250 on a price of £14,250,000).</w:t>
      </w:r>
    </w:p>
    <w:p>
      <w:pPr>
        <w:spacing w:after="100"/>
      </w:pPr>
      <w:r>
        <w:t xml:space="preserve">We will render interim invoices monthly and a final invoice on completion. Our invoices are payable within 14 days. We will require cleared funds in respect of the deposit and the balance of the purchase price in good time before exchange and completion respectively.</w:t>
      </w:r>
    </w:p>
    <w:p>
      <w:pPr>
        <w:pStyle w:val="Heading2"/>
      </w:pPr>
      <w:r>
        <w:t xml:space="preserve">4. Anti-money laundering and source of funds</w:t>
      </w:r>
    </w:p>
    <w:p>
      <w:pPr>
        <w:spacing w:after="100"/>
      </w:pPr>
      <w:r>
        <w:t xml:space="preserve">We are required by law to verify the identity of our client and to understand the source of the funds applied to the transaction. We have completed our electronic verification of the Company and its directors. Please confirm in writing the source of the £14,250,000 consideration (we understand this comprises existing cash reserves of the Company together with a senior facility from Pennine Business Bank plc) and provide the supporting evidence requested by our compliance team.</w:t>
      </w:r>
    </w:p>
    <w:p>
      <w:pPr>
        <w:pStyle w:val="Heading2"/>
      </w:pPr>
      <w:r>
        <w:t xml:space="preserve">5. Conflicts, confidentiality and storage</w:t>
      </w:r>
    </w:p>
    <w:p>
      <w:pPr>
        <w:spacing w:after="100"/>
      </w:pPr>
      <w:r>
        <w:t xml:space="preserve">We have carried out a conflict check and are not aware of any conflict that prevents us from acting. All information you provide will be kept confidential save where disclosure is required by law or regulation. We will retain the file for a minimum of seven years after completion.</w:t>
      </w:r>
    </w:p>
    <w:p>
      <w:pPr>
        <w:pStyle w:val="Heading2"/>
      </w:pPr>
      <w:r>
        <w:t xml:space="preserve">6. Acceptance</w:t>
      </w:r>
    </w:p>
    <w:p>
      <w:pPr>
        <w:spacing w:after="240"/>
      </w:pPr>
      <w:r>
        <w:t xml:space="preserve">Please confirm your acceptance of these terms and of our enclosed standard terms of business by signing and returning the duplicate of this letter. We look forward to working with you on this acquisition.</w:t>
      </w:r>
    </w:p>
    <w:p>
      <w:pPr>
        <w:spacing w:after="280"/>
      </w:pPr>
      <w:r>
        <w:t xml:space="preserve">Yours sincerely</w:t>
      </w:r>
    </w:p>
    <w:p>
      <w:pPr>
        <w:spacing w:after="100"/>
      </w:pPr>
      <w:r>
        <w:rPr>
          <w:b/>
          <w:bCs/>
        </w:rPr>
        <w:t xml:space="preserve">Sarah Whitfield</w:t>
      </w:r>
    </w:p>
    <w:p>
      <w:pPr>
        <w:spacing w:after="100"/>
      </w:pPr>
      <w:r>
        <w:t xml:space="preserve">Partner — Real Estate</w:t>
      </w:r>
    </w:p>
    <w:p>
      <w:pPr>
        <w:spacing w:after="100"/>
      </w:pPr>
      <w:r>
        <w:t xml:space="preserve">Whitfield Carter LLP</w:t>
      </w:r>
    </w:p>
    <w:p>
      <w:pPr>
        <w:spacing w:after="100"/>
      </w:pPr>
      <w:r>
        <w:rPr>
          <w:color w:val="595959"/>
          <w:sz w:val="18"/>
          <w:szCs w:val="18"/>
        </w:rPr>
        <w:t xml:space="preserve">sarah.whitfield@whitfieldcarter.com | +44 (0)20 7946 2210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Whitfield Carter LLP is a limited liability partnership. Confidential and may be legally privileged.</w:t>
    </w:r>
  </w:p>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spacing w:after="40"/>
      <w:jc w:val="right"/>
    </w:pPr>
    <w:r>
      <w:rPr>
        <w:color w:val="595959"/>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2026-06-26T18:41:55.471Z</dcterms:created>
  <dcterms:modified xsi:type="dcterms:W3CDTF">2026-06-26T18:41:55.472Z</dcterms:modified>
</cp:coreProperties>
</file>

<file path=docProps/custom.xml><?xml version="1.0" encoding="utf-8"?>
<Properties xmlns="http://schemas.openxmlformats.org/officeDocument/2006/custom-properties" xmlns:vt="http://schemas.openxmlformats.org/officeDocument/2006/docPropsVTypes"/>
</file>