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28"/>
          <w:szCs w:val="28"/>
        </w:rPr>
        <w:t xml:space="preserve">HEADS OF TERMS (SUBJECT TO CONTRACT)</w:t>
      </w:r>
    </w:p>
    <w:p>
      <w:pPr>
        <w:spacing w:after="200"/>
        <w:jc w:val="center"/>
      </w:pPr>
      <w:r>
        <w:rPr>
          <w:sz w:val="22"/>
          <w:szCs w:val="22"/>
        </w:rPr>
        <w:t xml:space="preserve">Project Cedar — Acquisition of Cedarbridge Business Park, Reading</w:t>
      </w:r>
    </w:p>
    <w:p>
      <w:pPr>
        <w:spacing w:after="160"/>
      </w:pPr>
      <w:r>
        <w:t xml:space="preserve">These heads of terms record the principal commercial terms agreed in principle between the parties for the proposed sale and purchase of the Property. They are subject to contract and to satisfactory due diligence and are not legally binding save for the provisions as to exclusivity, costs and confidentiality, which are intended to bind the parties.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r>
              <w:rPr>
                <w:b/>
                <w:bCs/>
                <w:color w:val="FFFFFF"/>
                <w:sz w:val="20"/>
                <w:szCs w:val="20"/>
              </w:rPr>
              <w:t xml:space="preserve">Item</w:t>
            </w:r>
          </w:p>
        </w:tc>
        <w:tc>
          <w:tcPr>
            <w:tcW w:type="dxa" w:w="6626"/>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r>
              <w:rPr>
                <w:b/>
                <w:bCs/>
                <w:color w:val="FFFFFF"/>
                <w:sz w:val="20"/>
                <w:szCs w:val="20"/>
              </w:rPr>
              <w:t xml:space="preserve">Agreed terms</w:t>
            </w:r>
          </w:p>
        </w:tc>
      </w:tr>
      <w:tr>
        <w:trPr>
          <w:tblHeader w:val="false"/>
        </w:trPr>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unction bold() { [native code] }"/>
                <w:bCs w:val="function bold() { [native code] }"/>
                <w:sz w:val="20"/>
                <w:szCs w:val="20"/>
              </w:rPr>
              <w:t xml:space="preserve">Property</w:t>
            </w:r>
          </w:p>
        </w:tc>
        <w:tc>
          <w:tcPr>
            <w:tcW w:type="dxa" w:w="6626"/>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unction bold() { [native code] }"/>
                <w:bCs w:val="function bold() { [native code] }"/>
                <w:sz w:val="20"/>
                <w:szCs w:val="20"/>
              </w:rPr>
              <w:t xml:space="preserve">Freehold of Cedarbridge Business Park, Brunel Way, Reading RG2 0TD, comprising seven units (Units 1–7) of office and light-industrial accommodation totalling approximately 78,400 sq ft, with 214 car parking spaces, registered at HM Land Registry under title number BK472913.</w:t>
            </w:r>
          </w:p>
        </w:tc>
      </w:tr>
      <w:tr>
        <w:trPr>
          <w:tblHeader w:val="false"/>
        </w:trPr>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unction bold() { [native code] }"/>
                <w:bCs w:val="function bold() { [native code] }"/>
                <w:sz w:val="20"/>
                <w:szCs w:val="20"/>
              </w:rPr>
              <w:t xml:space="preserve">Seller</w:t>
            </w:r>
          </w:p>
        </w:tc>
        <w:tc>
          <w:tcPr>
            <w:tcW w:type="dxa" w:w="6626"/>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unction bold() { [native code] }"/>
                <w:bCs w:val="function bold() { [native code] }"/>
                <w:sz w:val="20"/>
                <w:szCs w:val="20"/>
              </w:rPr>
              <w:t xml:space="preserve">Westgate Trust Estates Limited (company no. 06721184), Westgate House, 9 Coley Avenue, Reading RG1 6AF.</w:t>
            </w:r>
          </w:p>
        </w:tc>
      </w:tr>
      <w:tr>
        <w:trPr>
          <w:tblHeader w:val="false"/>
        </w:trPr>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unction bold() { [native code] }"/>
                <w:bCs w:val="function bold() { [native code] }"/>
                <w:sz w:val="20"/>
                <w:szCs w:val="20"/>
              </w:rPr>
              <w:t xml:space="preserve">Buyer</w:t>
            </w:r>
          </w:p>
        </w:tc>
        <w:tc>
          <w:tcPr>
            <w:tcW w:type="dxa" w:w="6626"/>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unction bold() { [native code] }"/>
                <w:bCs w:val="function bold() { [native code] }"/>
                <w:sz w:val="20"/>
                <w:szCs w:val="20"/>
              </w:rPr>
              <w:t xml:space="preserve">Thornbury Properties Limited (company no. 04419872) or a wholly-owned group nominee.</w:t>
            </w:r>
          </w:p>
        </w:tc>
      </w:tr>
      <w:tr>
        <w:trPr>
          <w:tblHeader w:val="false"/>
        </w:trPr>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unction bold() { [native code] }"/>
                <w:bCs w:val="function bold() { [native code] }"/>
                <w:sz w:val="20"/>
                <w:szCs w:val="20"/>
              </w:rPr>
              <w:t xml:space="preserve">Purchase price</w:t>
            </w:r>
          </w:p>
        </w:tc>
        <w:tc>
          <w:tcPr>
            <w:tcW w:type="dxa" w:w="6626"/>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unction bold() { [native code] }"/>
                <w:bCs w:val="function bold() { [native code] }"/>
                <w:sz w:val="20"/>
                <w:szCs w:val="20"/>
              </w:rPr>
              <w:t xml:space="preserve">£14,250,000 (fourteen million two hundred and fifty thousand pounds), reflecting a net initial yield of approximately 7.0% on the passing rent.</w:t>
            </w:r>
          </w:p>
        </w:tc>
      </w:tr>
      <w:tr>
        <w:trPr>
          <w:tblHeader w:val="false"/>
        </w:trPr>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unction bold() { [native code] }"/>
                <w:bCs w:val="function bold() { [native code] }"/>
                <w:sz w:val="20"/>
                <w:szCs w:val="20"/>
              </w:rPr>
              <w:t xml:space="preserve">Passing rent</w:t>
            </w:r>
          </w:p>
        </w:tc>
        <w:tc>
          <w:tcPr>
            <w:tcW w:type="dxa" w:w="6626"/>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unction bold() { [native code] }"/>
                <w:bCs w:val="function bold() { [native code] }"/>
                <w:sz w:val="20"/>
                <w:szCs w:val="20"/>
              </w:rPr>
              <w:t xml:space="preserve">£1,062,500 per annum exclusive, across seven leases (see tenancy schedule). Two units (Units 6 and 7) are within rent-free periods expiring 24 March 2026.</w:t>
            </w:r>
          </w:p>
        </w:tc>
      </w:tr>
      <w:tr>
        <w:trPr>
          <w:tblHeader w:val="false"/>
        </w:trPr>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unction bold() { [native code] }"/>
                <w:bCs w:val="function bold() { [native code] }"/>
                <w:sz w:val="20"/>
                <w:szCs w:val="20"/>
              </w:rPr>
              <w:t xml:space="preserve">VAT / TOGC</w:t>
            </w:r>
          </w:p>
        </w:tc>
        <w:tc>
          <w:tcPr>
            <w:tcW w:type="dxa" w:w="6626"/>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unction bold() { [native code] }"/>
                <w:bCs w:val="function bold() { [native code] }"/>
                <w:sz w:val="20"/>
                <w:szCs w:val="20"/>
              </w:rPr>
              <w:t xml:space="preserve">The Seller has opted to tax. The parties intend the sale to be treated as a transfer of a going concern (TOGC); the Buyer will opt to tax and notify HMRC before completion and give the necessary TOGC warranties.</w:t>
            </w:r>
          </w:p>
        </w:tc>
      </w:tr>
      <w:tr>
        <w:trPr>
          <w:tblHeader w:val="false"/>
        </w:trPr>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unction bold() { [native code] }"/>
                <w:bCs w:val="function bold() { [native code] }"/>
                <w:sz w:val="20"/>
                <w:szCs w:val="20"/>
              </w:rPr>
              <w:t xml:space="preserve">Deposit</w:t>
            </w:r>
          </w:p>
        </w:tc>
        <w:tc>
          <w:tcPr>
            <w:tcW w:type="dxa" w:w="6626"/>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unction bold() { [native code] }"/>
                <w:bCs w:val="function bold() { [native code] }"/>
                <w:sz w:val="20"/>
                <w:szCs w:val="20"/>
              </w:rPr>
              <w:t xml:space="preserve">10% of the purchase price (£1,425,000) payable on exchange, held by the Seller's solicitors as stakeholder.</w:t>
            </w:r>
          </w:p>
        </w:tc>
      </w:tr>
      <w:tr>
        <w:trPr>
          <w:tblHeader w:val="false"/>
        </w:trPr>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unction bold() { [native code] }"/>
                <w:bCs w:val="function bold() { [native code] }"/>
                <w:sz w:val="20"/>
                <w:szCs w:val="20"/>
              </w:rPr>
              <w:t xml:space="preserve">Rent deposit</w:t>
            </w:r>
          </w:p>
        </w:tc>
        <w:tc>
          <w:tcPr>
            <w:tcW w:type="dxa" w:w="6626"/>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unction bold() { [native code] }"/>
                <w:bCs w:val="function bold() { [native code] }"/>
                <w:sz w:val="20"/>
                <w:szCs w:val="20"/>
              </w:rPr>
              <w:t xml:space="preserve">A rent deposit of £45,000 plus VAT is held in respect of Unit 4 (Maple Systems Limited); to be assigned/novated to the Buyer on completion by way of a rent deposit deed.</w:t>
            </w:r>
          </w:p>
        </w:tc>
      </w:tr>
      <w:tr>
        <w:trPr>
          <w:tblHeader w:val="false"/>
        </w:trPr>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unction bold() { [native code] }"/>
                <w:bCs w:val="function bold() { [native code] }"/>
                <w:sz w:val="20"/>
                <w:szCs w:val="20"/>
              </w:rPr>
              <w:t xml:space="preserve">Target dates</w:t>
            </w:r>
          </w:p>
        </w:tc>
        <w:tc>
          <w:tcPr>
            <w:tcW w:type="dxa" w:w="6626"/>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unction bold() { [native code] }"/>
                <w:bCs w:val="function bold() { [native code] }"/>
                <w:sz w:val="20"/>
                <w:szCs w:val="20"/>
              </w:rPr>
              <w:t xml:space="preserve">Exchange of contracts by 21 November 2025; completion on 12 December 2025.</w:t>
            </w:r>
          </w:p>
        </w:tc>
      </w:tr>
      <w:tr>
        <w:trPr>
          <w:tblHeader w:val="false"/>
        </w:trPr>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unction bold() { [native code] }"/>
                <w:bCs w:val="function bold() { [native code] }"/>
                <w:sz w:val="20"/>
                <w:szCs w:val="20"/>
              </w:rPr>
              <w:t xml:space="preserve">Conditions</w:t>
            </w:r>
          </w:p>
        </w:tc>
        <w:tc>
          <w:tcPr>
            <w:tcW w:type="dxa" w:w="6626"/>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unction bold() { [native code] }"/>
                <w:bCs w:val="function bold() { [native code] }"/>
                <w:sz w:val="20"/>
                <w:szCs w:val="20"/>
              </w:rPr>
              <w:t xml:space="preserve">Satisfactory replies to CPSE enquiries and searches; clear report on title; confirmation of the TOGC treatment; Buyer board approval and funding in place.</w:t>
            </w:r>
          </w:p>
        </w:tc>
      </w:tr>
      <w:tr>
        <w:trPr>
          <w:tblHeader w:val="false"/>
        </w:trPr>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unction bold() { [native code] }"/>
                <w:bCs w:val="function bold() { [native code] }"/>
                <w:sz w:val="20"/>
                <w:szCs w:val="20"/>
              </w:rPr>
              <w:t xml:space="preserve">Exclusivity</w:t>
            </w:r>
          </w:p>
        </w:tc>
        <w:tc>
          <w:tcPr>
            <w:tcW w:type="dxa" w:w="6626"/>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unction bold() { [native code] }"/>
                <w:bCs w:val="function bold() { [native code] }"/>
                <w:sz w:val="20"/>
                <w:szCs w:val="20"/>
              </w:rPr>
              <w:t xml:space="preserve">The Seller grants the Buyer an exclusivity period of eight weeks from the date of these heads of terms, during which the Seller will not negotiate with or market the Property to any third party.</w:t>
            </w:r>
          </w:p>
        </w:tc>
      </w:tr>
      <w:tr>
        <w:trPr>
          <w:tblHeader w:val="false"/>
        </w:trPr>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unction bold() { [native code] }"/>
                <w:bCs w:val="function bold() { [native code] }"/>
                <w:sz w:val="20"/>
                <w:szCs w:val="20"/>
              </w:rPr>
              <w:t xml:space="preserve">Costs</w:t>
            </w:r>
          </w:p>
        </w:tc>
        <w:tc>
          <w:tcPr>
            <w:tcW w:type="dxa" w:w="6626"/>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unction bold() { [native code] }"/>
                <w:bCs w:val="function bold() { [native code] }"/>
                <w:sz w:val="20"/>
                <w:szCs w:val="20"/>
              </w:rPr>
              <w:t xml:space="preserve">Each party bears its own professional costs. The Buyer is responsible for SDLT, search fees and registration fees.</w:t>
            </w:r>
          </w:p>
        </w:tc>
      </w:tr>
      <w:tr>
        <w:trPr>
          <w:tblHeader w:val="false"/>
        </w:trPr>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unction bold() { [native code] }"/>
                <w:bCs w:val="function bold() { [native code] }"/>
                <w:sz w:val="20"/>
                <w:szCs w:val="20"/>
              </w:rPr>
              <w:t xml:space="preserve">Agents</w:t>
            </w:r>
          </w:p>
        </w:tc>
        <w:tc>
          <w:tcPr>
            <w:tcW w:type="dxa" w:w="6626"/>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unction bold() { [native code] }"/>
                <w:bCs w:val="function bold() { [native code] }"/>
                <w:sz w:val="20"/>
                <w:szCs w:val="20"/>
              </w:rPr>
              <w:t xml:space="preserve">Seller: Calderbank Vine (Greg Vine). Buyer: acting through its in-house acquisitions team (Isla Fournier).</w:t>
            </w:r>
          </w:p>
        </w:tc>
      </w:tr>
      <w:tr>
        <w:trPr>
          <w:tblHeader w:val="false"/>
        </w:trPr>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unction bold() { [native code] }"/>
                <w:bCs w:val="function bold() { [native code] }"/>
                <w:sz w:val="20"/>
                <w:szCs w:val="20"/>
              </w:rPr>
              <w:t xml:space="preserve">Solicitors</w:t>
            </w:r>
          </w:p>
        </w:tc>
        <w:tc>
          <w:tcPr>
            <w:tcW w:type="dxa" w:w="6626"/>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unction bold() { [native code] }"/>
                <w:bCs w:val="function bold() { [native code] }"/>
                <w:sz w:val="20"/>
                <w:szCs w:val="20"/>
              </w:rPr>
              <w:t xml:space="preserve">Seller: Birchall Stone LLP (Oliver Jennings). Buyer: Whitfield Carter LLP (Sarah Whitfield / James Osei).</w:t>
            </w:r>
          </w:p>
        </w:tc>
      </w:tr>
    </w:tbl>
    <w:p>
      <w:r>
        <w:t xml:space="preserve"/>
      </w:r>
    </w:p>
    <w:p>
      <w:pPr>
        <w:spacing w:after="100"/>
      </w:pPr>
      <w:r>
        <w:rPr>
          <w:i/>
          <w:iCs/>
        </w:rPr>
        <w:t xml:space="preserve">Agreed subject to contract on 18 September 2025.</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bCs/>
                <w:sz w:val="20"/>
                <w:szCs w:val="20"/>
              </w:rPr>
              <w:t xml:space="preserve">For the Seller</w:t>
            </w:r>
          </w:p>
        </w:tc>
        <w:tc>
          <w:tcPr>
            <w:tcW w:type="dxa" w:w="4513"/>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bCs/>
                <w:sz w:val="20"/>
                <w:szCs w:val="20"/>
              </w:rPr>
              <w:t xml:space="preserve">For the Buyer</w:t>
            </w:r>
          </w:p>
        </w:tc>
      </w:tr>
      <w:tr>
        <w:trPr>
          <w:tblHeader w:val="false"/>
        </w:trPr>
        <w:tc>
          <w:tcPr>
            <w:tcW w:type="dxa" w:w="4513"/>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unction bold() { [native code] }"/>
                <w:bCs w:val="function bold() { [native code] }"/>
                <w:sz w:val="20"/>
                <w:szCs w:val="20"/>
              </w:rPr>
              <w:t xml:space="preserve">Signed: ......................................</w:t>
            </w:r>
          </w:p>
        </w:tc>
        <w:tc>
          <w:tcPr>
            <w:tcW w:type="dxa" w:w="4513"/>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unction bold() { [native code] }"/>
                <w:bCs w:val="function bold() { [native code] }"/>
                <w:sz w:val="20"/>
                <w:szCs w:val="20"/>
              </w:rPr>
              <w:t xml:space="preserve">Signed: ......................................</w:t>
            </w:r>
          </w:p>
        </w:tc>
      </w:tr>
      <w:tr>
        <w:trPr>
          <w:tblHeader w:val="false"/>
        </w:trPr>
        <w:tc>
          <w:tcPr>
            <w:tcW w:type="dxa" w:w="4513"/>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unction bold() { [native code] }"/>
                <w:bCs w:val="function bold() { [native code] }"/>
                <w:sz w:val="20"/>
                <w:szCs w:val="20"/>
              </w:rPr>
              <w:t xml:space="preserve">Name: Alan Renton</w:t>
            </w:r>
          </w:p>
        </w:tc>
        <w:tc>
          <w:tcPr>
            <w:tcW w:type="dxa" w:w="4513"/>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unction bold() { [native code] }"/>
                <w:bCs w:val="function bold() { [native code] }"/>
                <w:sz w:val="20"/>
                <w:szCs w:val="20"/>
              </w:rPr>
              <w:t xml:space="preserve">Name: Daniel Quigley</w:t>
            </w:r>
          </w:p>
        </w:tc>
      </w:tr>
      <w:tr>
        <w:trPr>
          <w:tblHeader w:val="false"/>
        </w:trPr>
        <w:tc>
          <w:tcPr>
            <w:tcW w:type="dxa" w:w="4513"/>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unction bold() { [native code] }"/>
                <w:bCs w:val="function bold() { [native code] }"/>
                <w:sz w:val="20"/>
                <w:szCs w:val="20"/>
              </w:rPr>
              <w:t xml:space="preserve">Westgate Trust Estates Limited</w:t>
            </w:r>
          </w:p>
        </w:tc>
        <w:tc>
          <w:tcPr>
            <w:tcW w:type="dxa" w:w="4513"/>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unction bold() { [native code] }"/>
                <w:bCs w:val="function bold() { [native code] }"/>
                <w:sz w:val="20"/>
                <w:szCs w:val="20"/>
              </w:rPr>
              <w:t xml:space="preserve">Thornbury Properties Limited</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1"/>
      </w:pBdr>
    </w:pPr>
    <w:r>
      <w:rPr>
        <w:color w:val="808080"/>
        <w:sz w:val="14"/>
        <w:szCs w:val="14"/>
      </w:rPr>
      <w:t xml:space="preserve">Whitfield Carter LLP is a limited liability partnership. Confidential and may be legally privileged.</w:t>
    </w:r>
  </w:p>
  <w:p>
    <w:pPr>
      <w:jc w:val="right"/>
    </w:pPr>
    <w:r>
      <w:rPr>
        <w:color w:val="80808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1F3864"/>
        <w:sz w:val="26"/>
        <w:szCs w:val="26"/>
      </w:rPr>
      <w:t xml:space="preserve">WHITFIELD CARTER LLP</w:t>
    </w:r>
  </w:p>
  <w:p>
    <w:pPr>
      <w:spacing w:after="40"/>
      <w:jc w:val="right"/>
    </w:pPr>
    <w:r>
      <w:rPr>
        <w:color w:val="595959"/>
        <w:sz w:val="16"/>
        <w:szCs w:val="16"/>
      </w:rPr>
      <w:t xml:space="preserve">22 Bishopsgate, London EC2N 4BQ</w:t>
    </w:r>
  </w:p>
  <w:p>
    <w:pPr>
      <w:pBdr>
        <w:bottom w:val="single" w:color="1F3864" w:sz="6" w:space="1"/>
      </w:pBdr>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600"/>
      </w:pPr>
    </w:lvl>
    <w:lvl w:ilvl="1" w15:tentative="1">
      <w:start w:val="1"/>
      <w:numFmt w:val="decimal"/>
      <w:lvlText w:val="%1.%2"/>
      <w:lvlJc w:val="left"/>
      <w:pPr>
        <w:ind w:left="1100" w:hanging="600"/>
      </w:pPr>
    </w:lvl>
    <w:lvl w:ilvl="2" w15:tentative="1">
      <w:start w:val="1"/>
      <w:numFmt w:val="lowerLetter"/>
      <w:lvlText w:val="(%3)"/>
      <w:lvlJc w:val="left"/>
      <w:pPr>
        <w:ind w:left="1600" w:hanging="500"/>
      </w:pPr>
    </w:lvl>
  </w:abstractNum>
  <w:abstractNum w:abstractNumId="3" w15:restartNumberingAfterBreak="0">
    <w:multiLevelType w:val="hybridMultilevel"/>
    <w:lvl w:ilvl="0" w15:tentative="1">
      <w:start w:val="1"/>
      <w:numFmt w:val="bullet"/>
      <w:lvlText w:val="•"/>
      <w:lvlJc w:val="left"/>
      <w:pPr>
        <w:ind w:left="60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8"/>
      <w:szCs w:val="28"/>
    </w:rPr>
  </w:style>
  <w:style w:type="paragraph" w:styleId="Heading2">
    <w:name w:val="Heading 2"/>
    <w:basedOn w:val="Normal"/>
    <w:next w:val="Normal"/>
    <w:qFormat/>
    <w:pPr>
      <w:spacing w:after="120" w:before="1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2026-06-26T18:41:55.492Z</dcterms:created>
  <dcterms:modified xsi:type="dcterms:W3CDTF">2026-06-26T18:41:55.492Z</dcterms:modified>
</cp:coreProperties>
</file>

<file path=docProps/custom.xml><?xml version="1.0" encoding="utf-8"?>
<Properties xmlns="http://schemas.openxmlformats.org/officeDocument/2006/custom-properties" xmlns:vt="http://schemas.openxmlformats.org/officeDocument/2006/docPropsVTypes"/>
</file>