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sz w:val="20"/>
          <w:szCs w:val="20"/>
        </w:rPr>
        <w:t xml:space="preserve">DATED                              2025</w:t>
      </w:r>
    </w:p>
    <w:p>
      <w:pPr>
        <w:jc w:val="center"/>
      </w:pPr>
      <w:r>
        <w:rPr>
          <w:b/>
          <w:bCs/>
          <w:sz w:val="30"/>
          <w:szCs w:val="30"/>
        </w:rPr>
        <w:t xml:space="preserve">RENT DEPOSIT DEED</w:t>
      </w:r>
    </w:p>
    <w:p>
      <w:pPr>
        <w:spacing w:after="60"/>
        <w:jc w:val="center"/>
      </w:pPr>
      <w:r>
        <w:rPr>
          <w:sz w:val="20"/>
          <w:szCs w:val="20"/>
        </w:rPr>
        <w:t xml:space="preserve">relating to Unit 4, Cedarbridge Business Park, Reading RG2 0TD</w:t>
      </w:r>
    </w:p>
    <w:p>
      <w:pPr>
        <w:spacing w:after="200"/>
        <w:jc w:val="center"/>
      </w:pPr>
      <w:r>
        <w:rPr>
          <w:color w:val="595959"/>
          <w:sz w:val="18"/>
          <w:szCs w:val="18"/>
        </w:rPr>
        <w:t xml:space="preserve">(1) Thornbury Properties Limited  (2) Maple Systems Limited</w:t>
      </w:r>
    </w:p>
    <w:p>
      <w:pPr>
        <w:pStyle w:val="Heading1"/>
      </w:pPr>
      <w:r>
        <w:t xml:space="preserve">Parties</w:t>
      </w:r>
    </w:p>
    <w:p>
      <w:pPr>
        <w:pStyle w:val="ListParagraph"/>
        <w:numPr>
          <w:ilvl w:val="0"/>
          <w:numId w:val="2"/>
        </w:numPr>
        <w:spacing w:after="90"/>
      </w:pPr>
      <w:r>
        <w:t xml:space="preserve">THORNBURY PROPERTIES LIMITED (company number 04419872) of Riverside House, 14 Tilbury Road, London SW6 3HX (the "Landlord"); and</w:t>
      </w:r>
    </w:p>
    <w:p>
      <w:pPr>
        <w:pStyle w:val="ListParagraph"/>
        <w:numPr>
          <w:ilvl w:val="0"/>
          <w:numId w:val="2"/>
        </w:numPr>
        <w:spacing w:after="90"/>
      </w:pPr>
      <w:r>
        <w:t xml:space="preserve">MAPLE SYSTEMS LIMITED (company number 07733120) of Unit 4, Cedarbridge Business Park, Brunel Way, Reading RG2 0TD (the "Tenant").</w:t>
      </w:r>
    </w:p>
    <w:p>
      <w:pPr>
        <w:pStyle w:val="Heading1"/>
      </w:pPr>
      <w:r>
        <w:t xml:space="preserve">Background</w:t>
      </w:r>
    </w:p>
    <w:p>
      <w:pPr>
        <w:pStyle w:val="ListParagraph"/>
        <w:numPr>
          <w:ilvl w:val="0"/>
          <w:numId w:val="2"/>
        </w:numPr>
        <w:spacing w:after="90"/>
      </w:pPr>
      <w:r>
        <w:t xml:space="preserve">By a lease dated 14 March 2023 the Tenant holds Unit 4 of the Property for a term expiring 25 December 2030 at a current rent of £148,000 per annum (the "Lease").</w:t>
      </w:r>
    </w:p>
    <w:p>
      <w:pPr>
        <w:pStyle w:val="ListParagraph"/>
        <w:numPr>
          <w:ilvl w:val="0"/>
          <w:numId w:val="2"/>
        </w:numPr>
        <w:spacing w:after="90"/>
      </w:pPr>
      <w:r>
        <w:t xml:space="preserve">On the grant of the Lease the Tenant paid a rent deposit of £45,000 plus VAT to the then landlord, Westgate Trust Estates Limited, as security for its obligations. The Landlord has acquired the reversion to the Lease and the benefit of the rent deposit with effect from completion of its purchase of the Property, and the parties enter into this deed to record the terms on which the deposit is now held.</w:t>
      </w:r>
    </w:p>
    <w:p>
      <w:pPr>
        <w:pStyle w:val="Heading1"/>
      </w:pPr>
      <w:r>
        <w:t xml:space="preserve">1. Definitions</w:t>
      </w:r>
    </w:p>
    <w:p>
      <w:pPr>
        <w:spacing w:after="100"/>
      </w:pPr>
      <w:r>
        <w:t xml:space="preserve">1.1  In this deed: "Deposit" means the sum of £45,000 together with VAT and any further sums paid under clause 4; "Deposit Account" means an interest-bearing account in the Landlord's name designated for the Deposit; "Prescribed Amount" means a sum equal to six months' principal rent.</w:t>
      </w:r>
    </w:p>
    <w:p>
      <w:pPr>
        <w:pStyle w:val="Heading1"/>
      </w:pPr>
      <w:r>
        <w:t xml:space="preserve">2. Payment and holding of the Deposit</w:t>
      </w:r>
    </w:p>
    <w:p>
      <w:pPr>
        <w:pStyle w:val="ListParagraph"/>
        <w:numPr>
          <w:ilvl w:val="1"/>
          <w:numId w:val="2"/>
        </w:numPr>
        <w:spacing w:after="90"/>
      </w:pPr>
      <w:r>
        <w:t xml:space="preserve">The Landlord acknowledges receipt (by way of transfer from the previous landlord on completion) of the Deposit and will hold it in the Deposit Account.</w:t>
      </w:r>
    </w:p>
    <w:p>
      <w:pPr>
        <w:pStyle w:val="ListParagraph"/>
        <w:numPr>
          <w:ilvl w:val="1"/>
          <w:numId w:val="2"/>
        </w:numPr>
        <w:spacing w:after="90"/>
      </w:pPr>
      <w:r>
        <w:t xml:space="preserve">The Deposit is charged by the Tenant to the Landlord as security for the performance of the Tenant's obligations under the Lease. The Tenant must not assign, charge or deal with its interest in the Deposit.</w:t>
      </w:r>
    </w:p>
    <w:p>
      <w:pPr>
        <w:pStyle w:val="Heading1"/>
      </w:pPr>
      <w:r>
        <w:t xml:space="preserve">3. Withdrawals by the Landlord</w:t>
      </w:r>
    </w:p>
    <w:p>
      <w:pPr>
        <w:pStyle w:val="ListParagraph"/>
        <w:numPr>
          <w:ilvl w:val="1"/>
          <w:numId w:val="2"/>
        </w:numPr>
        <w:spacing w:after="90"/>
      </w:pPr>
      <w:r>
        <w:t xml:space="preserve">The Landlord may withdraw from the Deposit such sums as are equal to any rent or other money due under the Lease and unpaid, the cost of remedying any breach by the Tenant, and any VAT on those sums.</w:t>
      </w:r>
    </w:p>
    <w:p>
      <w:pPr>
        <w:pStyle w:val="ListParagraph"/>
        <w:numPr>
          <w:ilvl w:val="1"/>
          <w:numId w:val="2"/>
        </w:numPr>
        <w:spacing w:after="90"/>
      </w:pPr>
      <w:r>
        <w:t xml:space="preserve">The Landlord must give the Tenant written notice of any withdrawal within five working days of making it.</w:t>
      </w:r>
    </w:p>
    <w:p>
      <w:pPr>
        <w:pStyle w:val="Heading1"/>
      </w:pPr>
      <w:r>
        <w:t xml:space="preserve">4. Topping up</w:t>
      </w:r>
    </w:p>
    <w:p>
      <w:pPr>
        <w:pStyle w:val="ListParagraph"/>
        <w:numPr>
          <w:ilvl w:val="1"/>
          <w:numId w:val="2"/>
        </w:numPr>
        <w:spacing w:after="90"/>
      </w:pPr>
      <w:r>
        <w:t xml:space="preserve">If at any time the Deposit is reduced below the Prescribed Amount as a result of a withdrawal, the Tenant must, within 10 working days of demand, pay to the Landlord the amount needed to restore the Deposit to the Prescribed Amount.</w:t>
      </w:r>
    </w:p>
    <w:p>
      <w:pPr>
        <w:pStyle w:val="Heading1"/>
      </w:pPr>
      <w:r>
        <w:t xml:space="preserve">5. Repayment</w:t>
      </w:r>
    </w:p>
    <w:p>
      <w:pPr>
        <w:pStyle w:val="ListParagraph"/>
        <w:numPr>
          <w:ilvl w:val="1"/>
          <w:numId w:val="2"/>
        </w:numPr>
        <w:spacing w:after="90"/>
      </w:pPr>
      <w:r>
        <w:t xml:space="preserve">The Landlord will repay the balance of the Deposit (with any accrued interest, less any sums properly due to the Landlord) to the Tenant within 20 working days after the later of the end of the term of the Lease and the date on which the Tenant has performed all its obligations under the Lease and this deed.</w:t>
      </w:r>
    </w:p>
    <w:p>
      <w:pPr>
        <w:pStyle w:val="Heading1"/>
      </w:pPr>
      <w:r>
        <w:t xml:space="preserve">6. Interest</w:t>
      </w:r>
    </w:p>
    <w:p>
      <w:pPr>
        <w:pStyle w:val="ListParagraph"/>
        <w:numPr>
          <w:ilvl w:val="1"/>
          <w:numId w:val="2"/>
        </w:numPr>
        <w:spacing w:after="90"/>
      </w:pPr>
      <w:r>
        <w:t xml:space="preserve">Interest accruing on the Deposit Account belongs to the Tenant and will be paid to the Tenant annually, subject to deduction of tax where required by law.</w:t>
      </w:r>
    </w:p>
    <w:p>
      <w:pPr>
        <w:pStyle w:val="Heading1"/>
      </w:pPr>
      <w:r>
        <w:t xml:space="preserve">7. Governing law</w:t>
      </w:r>
    </w:p>
    <w:p>
      <w:pPr>
        <w:pStyle w:val="ListParagraph"/>
        <w:numPr>
          <w:ilvl w:val="1"/>
          <w:numId w:val="2"/>
        </w:numPr>
        <w:spacing w:after="90"/>
      </w:pPr>
      <w:r>
        <w:t xml:space="preserve">This deed is governed by the law of England and Wales and the parties submit to the exclusive jurisdiction of the courts of England and Wales.</w:t>
      </w:r>
    </w:p>
    <w:p>
      <w:r>
        <w:t xml:space="preserve"/>
      </w:r>
    </w:p>
    <w:p>
      <w:pPr>
        <w:spacing w:after="100"/>
      </w:pPr>
      <w:r>
        <w:rPr>
          <w:b/>
          <w:bCs/>
        </w:rPr>
        <w:t xml:space="preserve">EXECUTED as a deed and delivered on the date written at the head of this deed.</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sz w:val="19"/>
                <w:szCs w:val="19"/>
              </w:rPr>
              <w:t xml:space="preserve">Executed as a deed by THORNBURY PROPERTIES LIMITED acting by a director:</w:t>
            </w:r>
          </w:p>
        </w:tc>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sz w:val="19"/>
                <w:szCs w:val="19"/>
              </w:rPr>
              <w:t xml:space="preserve">Executed as a deed by MAPLE SYSTEMS LIMITED acting by a director and its secretary:</w:t>
            </w:r>
          </w:p>
        </w:tc>
      </w:tr>
      <w:tr>
        <w:trPr>
          <w:tblHeader w:val="false"/>
        </w:trPr>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unction bold() { [native code] }"/>
                <w:bCs w:val="function bold() { [native code] }"/>
                <w:sz w:val="19"/>
                <w:szCs w:val="19"/>
              </w:rPr>
              <w:t xml:space="preserve">Director: ...........................</w:t>
            </w:r>
          </w:p>
        </w:tc>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unction bold() { [native code] }"/>
                <w:bCs w:val="function bold() { [native code] }"/>
                <w:sz w:val="19"/>
                <w:szCs w:val="19"/>
              </w:rPr>
              <w:t xml:space="preserve">Director: ...........................</w:t>
            </w:r>
          </w:p>
        </w:tc>
      </w:tr>
      <w:tr>
        <w:trPr>
          <w:tblHeader w:val="false"/>
        </w:trPr>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unction bold() { [native code] }"/>
                <w:bCs w:val="function bold() { [native code] }"/>
                <w:sz w:val="19"/>
                <w:szCs w:val="19"/>
              </w:rPr>
              <w:t xml:space="preserve"/>
            </w:r>
          </w:p>
        </w:tc>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unction bold() { [native code] }"/>
                <w:bCs w:val="function bold() { [native code] }"/>
                <w:sz w:val="19"/>
                <w:szCs w:val="19"/>
              </w:rPr>
              <w:t xml:space="preserve">Secretary: ...........................</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20"/>
        <w:szCs w:val="20"/>
      </w:rPr>
      <w:t xml:space="preserve">WHITFIELD CARTER LLP</w:t>
    </w:r>
  </w:p>
  <w:p>
    <w:pPr>
      <w:jc w:val="right"/>
    </w:pPr>
    <w:r>
      <w:rPr>
        <w:color w:val="808080"/>
        <w:sz w:val="16"/>
        <w:szCs w:val="16"/>
      </w:rPr>
      <w:t xml:space="preserve">Project Cedar — Rent Deposit Deed</w:t>
    </w:r>
  </w:p>
  <w:p>
    <w:pPr>
      <w:pBdr>
        <w:bottom w:val="single" w:color="1F3864" w:sz="4"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50" w:hanging="65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20"/>
      <w:outlineLvl w:val="0"/>
    </w:pPr>
    <w:rPr>
      <w:rFonts w:ascii="Arial" w:cs="Arial" w:eastAsia="Arial" w:hAnsi="Arial"/>
      <w:b/>
      <w:bCs/>
      <w:sz w:val="26"/>
      <w:szCs w:val="26"/>
    </w:rPr>
  </w:style>
  <w:style w:type="paragraph" w:styleId="Heading2">
    <w:name w:val="Heading 2"/>
    <w:basedOn w:val="Normal"/>
    <w:next w:val="Normal"/>
    <w:qFormat/>
    <w:pPr>
      <w:spacing w:after="10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2026-06-26T18:48:00.959Z</dcterms:created>
  <dcterms:modified xsi:type="dcterms:W3CDTF">2026-06-26T18:48:00.959Z</dcterms:modified>
</cp:coreProperties>
</file>

<file path=docProps/custom.xml><?xml version="1.0" encoding="utf-8"?>
<Properties xmlns="http://schemas.openxmlformats.org/officeDocument/2006/custom-properties" xmlns:vt="http://schemas.openxmlformats.org/officeDocument/2006/docPropsVTypes"/>
</file>