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REPORT ON TITLE</w:t>
      </w:r>
    </w:p>
    <w:p>
      <w:pPr>
        <w:spacing w:after="60"/>
        <w:jc w:val="center"/>
      </w:pPr>
      <w:r>
        <w:rPr>
          <w:sz w:val="22"/>
          <w:szCs w:val="22"/>
        </w:rPr>
        <w:t xml:space="preserve">Project Cedar — Cedarbridge Business Park, Reading RG2 0TD</w:t>
      </w:r>
    </w:p>
    <w:p>
      <w:pPr>
        <w:spacing w:after="200"/>
        <w:jc w:val="center"/>
      </w:pPr>
      <w:r>
        <w:rPr>
          <w:color w:val="595959"/>
          <w:sz w:val="18"/>
          <w:szCs w:val="18"/>
        </w:rPr>
        <w:t xml:space="preserve">Prepared for Thornbury Properties Limited  |  Draft 2  |  4 November 2025</w:t>
      </w:r>
    </w:p>
    <w:p>
      <w:pPr>
        <w:pStyle w:val="Heading1"/>
      </w:pPr>
      <w:r>
        <w:t xml:space="preserve">1. Introduction and purpose</w:t>
      </w:r>
    </w:p>
    <w:p>
      <w:pPr>
        <w:spacing w:after="100"/>
      </w:pPr>
      <w:r>
        <w:t xml:space="preserve">This report summarises the results of our investigation of the title to the freehold property known as Cedarbridge Business Park, Brunel Way, Reading RG2 0TD (the "Property"), which Thornbury Properties Limited (the "Buyer") proposes to acquire from Westgate Trust Estates Limited (the "Seller") for £14,250,000. It should be read with the tenancy schedule, the replies to CPSE enquiries and the search results, copies of which are available on the matter file. Capitalised terms have the meanings given in the draft sale contract.</w:t>
      </w:r>
    </w:p>
    <w:p>
      <w:pPr>
        <w:pStyle w:val="Heading1"/>
      </w:pPr>
      <w:r>
        <w:t xml:space="preserve">2. The Property and registered title</w:t>
      </w:r>
    </w:p>
    <w:p>
      <w:pPr>
        <w:spacing w:after="100"/>
      </w:pPr>
      <w:r>
        <w:t xml:space="preserve">The Property is registered with title absolute at HM Land Registry under title number BK472913. The Seller is the sole registered proprietor; the proprietorship register was last updated on 9 February 2023 when the Seller acquired the Property. The register comprises:</w:t>
      </w:r>
    </w:p>
    <w:p>
      <w:pPr>
        <w:pStyle w:val="ListParagraph"/>
        <w:numPr>
          <w:ilvl w:val="0"/>
          <w:numId w:val="2"/>
        </w:numPr>
        <w:spacing w:after="60"/>
      </w:pPr>
      <w:r>
        <w:t xml:space="preserve">Property register: the freehold estate known as Cedarbridge Business Park, with the benefit of rights of way and service media over the adjoining estate road retained by the original developer.</w:t>
      </w:r>
    </w:p>
    <w:p>
      <w:pPr>
        <w:pStyle w:val="ListParagraph"/>
        <w:numPr>
          <w:ilvl w:val="0"/>
          <w:numId w:val="2"/>
        </w:numPr>
        <w:spacing w:after="60"/>
      </w:pPr>
      <w:r>
        <w:t xml:space="preserve">Proprietorship register: Westgate Trust Estates Limited registered as proprietor with title absolute; no restriction other than a standard Form A restriction does not apply (sole proprietor).</w:t>
      </w:r>
    </w:p>
    <w:p>
      <w:pPr>
        <w:pStyle w:val="ListParagraph"/>
        <w:numPr>
          <w:ilvl w:val="0"/>
          <w:numId w:val="2"/>
        </w:numPr>
        <w:spacing w:after="60"/>
      </w:pPr>
      <w:r>
        <w:t xml:space="preserve">Charges register: a legal charge dated 9 February 2023 in favour of Pennine Business Bank plc (to be discharged on completion — see section 7); together with various easements and a 1998 deed of covenant with the local highway authority relating to the estate road and attenuation pond.</w:t>
      </w:r>
    </w:p>
    <w:p>
      <w:pPr>
        <w:pStyle w:val="Heading1"/>
      </w:pPr>
      <w:r>
        <w:t xml:space="preserve">3. Tenancies</w:t>
      </w:r>
    </w:p>
    <w:p>
      <w:pPr>
        <w:spacing w:after="100"/>
      </w:pPr>
      <w:r>
        <w:t xml:space="preserve">The Property is sold subject to and with the benefit of seven occupational leases generating a passing rent of £1,062,500 per annum, reflecting a net initial yield of approximately 7.0%. We have reviewed each lease against the tenancy schedule. The leases are on broadly institutional terms (FRI, upward-only five-yearly reviews, tenant break options on Units 3 and 5). Two units (Units 6 and 7) are within rent-free periods expiring 24 March 2026; the Buyer should ensure the apportionments and completion statement reflect the top-up requested from the Seller in respect of those concessions (see section 6).</w:t>
      </w:r>
    </w:p>
    <w:p>
      <w:pPr>
        <w:spacing w:after="100"/>
      </w:pPr>
      <w:r>
        <w:t xml:space="preserve">Unit 4 (Maple Systems Limited) is supported by a rent deposit of £45,000 plus VAT held under a rent deposit deed dated 14 March 2023. The benefit of that deed is to be transferred to the Buyer on completion by way of the agreed rent deposit deed and the deposit monies accounted for on the completion statement.</w:t>
      </w:r>
    </w:p>
    <w:p>
      <w:pPr>
        <w:pStyle w:val="Heading1"/>
      </w:pPr>
      <w:r>
        <w:t xml:space="preserve">4. Searches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50"/>
              <w:left w:type="dxa" w:w="100"/>
              <w:bottom w:type="dxa" w:w="50"/>
              <w:right w:type="dxa" w:w="100"/>
            </w:tcMar>
          </w:tcPr>
          <w:p>
            <w:r>
              <w:rPr>
                <w:b/>
                <w:bCs/>
                <w:color w:val="FFFFFF"/>
                <w:sz w:val="19"/>
                <w:szCs w:val="19"/>
              </w:rPr>
              <w:t xml:space="preserve">Search</w:t>
            </w:r>
          </w:p>
        </w:tc>
        <w:tc>
          <w:tcPr>
            <w:tcW w:type="dxa" w:w="6726"/>
            <w:tcBorders>
              <w:top w:val="single" w:color="BFBFBF" w:sz="1"/>
              <w:left w:val="single" w:color="BFBFBF" w:sz="1"/>
              <w:bottom w:val="single" w:color="BFBFBF" w:sz="1"/>
              <w:right w:val="single" w:color="BFBFBF" w:sz="1"/>
            </w:tcBorders>
            <w:shd w:fill="1F3864" w:val="clear"/>
            <w:tcMar>
              <w:top w:type="dxa" w:w="50"/>
              <w:left w:type="dxa" w:w="100"/>
              <w:bottom w:type="dxa" w:w="50"/>
              <w:right w:type="dxa" w:w="100"/>
            </w:tcMar>
          </w:tcPr>
          <w:p>
            <w:r>
              <w:rPr>
                <w:b/>
                <w:bCs/>
                <w:color w:val="FFFFFF"/>
                <w:sz w:val="19"/>
                <w:szCs w:val="19"/>
              </w:rPr>
              <w:t xml:space="preserve">Result / action</w:t>
            </w:r>
          </w:p>
        </w:tc>
      </w:tr>
      <w:tr>
        <w:trPr>
          <w:tblHeader w:val="false"/>
        </w:trPr>
        <w:tc>
          <w:tcPr>
            <w:tcW w:type="dxa" w:w="23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unction bold() { [native code] }"/>
                <w:bCs w:val="function bold() { [native code] }"/>
                <w:sz w:val="19"/>
                <w:szCs w:val="19"/>
              </w:rPr>
              <w:t xml:space="preserve">Local authority (LLC1 / CON29)</w:t>
            </w:r>
          </w:p>
        </w:tc>
        <w:tc>
          <w:tcPr>
            <w:tcW w:type="dxa" w:w="6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unction bold() { [native code] }"/>
                <w:bCs w:val="function bold() { [native code] }"/>
                <w:sz w:val="19"/>
                <w:szCs w:val="19"/>
              </w:rPr>
              <w:t xml:space="preserve">No adverse entries materially affecting value. The estate road is adopted; the attenuation pond is maintained under the 1998 deed of covenant. No outstanding enforcement or financial charges.</w:t>
            </w:r>
          </w:p>
        </w:tc>
      </w:tr>
      <w:tr>
        <w:trPr>
          <w:tblHeader w:val="false"/>
        </w:trPr>
        <w:tc>
          <w:tcPr>
            <w:tcW w:type="dxa" w:w="23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unction bold() { [native code] }"/>
                <w:bCs w:val="function bold() { [native code] }"/>
                <w:sz w:val="19"/>
                <w:szCs w:val="19"/>
              </w:rPr>
              <w:t xml:space="preserve">Drainage and water (CON29DW)</w:t>
            </w:r>
          </w:p>
        </w:tc>
        <w:tc>
          <w:tcPr>
            <w:tcW w:type="dxa" w:w="6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unction bold() { [native code] }"/>
                <w:bCs w:val="function bold() { [native code] }"/>
                <w:sz w:val="19"/>
                <w:szCs w:val="19"/>
              </w:rPr>
              <w:t xml:space="preserve">Property connected to mains foul and surface water drainage; a public surface-water sewer crosses the south-east corner within an existing easement — no building over consent issues identified.</w:t>
            </w:r>
          </w:p>
        </w:tc>
      </w:tr>
      <w:tr>
        <w:trPr>
          <w:tblHeader w:val="false"/>
        </w:trPr>
        <w:tc>
          <w:tcPr>
            <w:tcW w:type="dxa" w:w="23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unction bold() { [native code] }"/>
                <w:bCs w:val="function bold() { [native code] }"/>
                <w:sz w:val="19"/>
                <w:szCs w:val="19"/>
              </w:rPr>
              <w:t xml:space="preserve">Environmental (Groundsure)</w:t>
            </w:r>
          </w:p>
        </w:tc>
        <w:tc>
          <w:tcPr>
            <w:tcW w:type="dxa" w:w="6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unction bold() { [native code] }"/>
                <w:bCs w:val="function bold() { [native code] }"/>
                <w:sz w:val="19"/>
                <w:szCs w:val="19"/>
              </w:rPr>
              <w:t xml:space="preserve">Passed. Historic use as a railway goods yard noted; desk study concludes low residual risk given the 2006 redevelopment and clean validation certificate on file. Recommend the Buyer rely on the existing remediation validation.</w:t>
            </w:r>
          </w:p>
        </w:tc>
      </w:tr>
      <w:tr>
        <w:trPr>
          <w:tblHeader w:val="false"/>
        </w:trPr>
        <w:tc>
          <w:tcPr>
            <w:tcW w:type="dxa" w:w="23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unction bold() { [native code] }"/>
                <w:bCs w:val="function bold() { [native code] }"/>
                <w:sz w:val="19"/>
                <w:szCs w:val="19"/>
              </w:rPr>
              <w:t xml:space="preserve">Chancel / flood</w:t>
            </w:r>
          </w:p>
        </w:tc>
        <w:tc>
          <w:tcPr>
            <w:tcW w:type="dxa" w:w="6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unction bold() { [native code] }"/>
                <w:bCs w:val="function bold() { [native code] }"/>
                <w:sz w:val="19"/>
                <w:szCs w:val="19"/>
              </w:rPr>
              <w:t xml:space="preserve">Chancel: no liability. Flood: low risk (Flood Zone 1); attenuation pond manages surface water.</w:t>
            </w:r>
          </w:p>
        </w:tc>
      </w:tr>
      <w:tr>
        <w:trPr>
          <w:tblHeader w:val="false"/>
        </w:trPr>
        <w:tc>
          <w:tcPr>
            <w:tcW w:type="dxa" w:w="23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unction bold() { [native code] }"/>
                <w:bCs w:val="function bold() { [native code] }"/>
                <w:sz w:val="19"/>
                <w:szCs w:val="19"/>
              </w:rPr>
              <w:t xml:space="preserve">Land Registry priority (OS1)</w:t>
            </w:r>
          </w:p>
        </w:tc>
        <w:tc>
          <w:tcPr>
            <w:tcW w:type="dxa" w:w="6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unction bold() { [native code] }"/>
                <w:bCs w:val="function bold() { [native code] }"/>
                <w:sz w:val="19"/>
                <w:szCs w:val="19"/>
              </w:rPr>
              <w:t xml:space="preserve">To be applied for to give priority for registration of the transfer; bankruptcy/company searches against the Seller clear.</w:t>
            </w:r>
          </w:p>
        </w:tc>
      </w:tr>
    </w:tbl>
    <w:p>
      <w:pPr>
        <w:pStyle w:val="Heading1"/>
      </w:pPr>
      <w:r>
        <w:t xml:space="preserve">5. Replies to enquiries (CPSE)</w:t>
      </w:r>
    </w:p>
    <w:p>
      <w:pPr>
        <w:spacing w:after="100"/>
      </w:pPr>
      <w:r>
        <w:t xml:space="preserve">The replies to CPSE.1 (and CPSE.2 in respect of the leasehold interests) are satisfactory subject to the following points which the Buyer should note: (a) the Seller confirms there are no disputes with any occupational tenant save a minor service-charge query raised by the tenant of Unit 5, which the Seller has agreed to resolve before completion; (b) the Seller is not aware of any outstanding statutory notices; and (c) the Seller confirms all principal rents are paid to the September 2025 quarter day, save Units 6 and 7 (rent-free).</w:t>
      </w:r>
    </w:p>
    <w:p>
      <w:pPr>
        <w:pStyle w:val="Heading1"/>
      </w:pPr>
      <w:r>
        <w:t xml:space="preserve">6. Apportionments and completion statement</w:t>
      </w:r>
    </w:p>
    <w:p>
      <w:pPr>
        <w:spacing w:after="100"/>
      </w:pPr>
      <w:r>
        <w:t xml:space="preserve">We have agreed the completion statement with the Seller's solicitors. The Buyer will pay the balance of the Purchase Price of £12,825,000 (after credit for the £1,425,000 deposit), plus apportioned rents in arrears and less the rent deposit of £45,000 transferred. SDLT of £706,250 is payable on completion. The net completion monies and SDLT are set out in the completion statement on the file.</w:t>
      </w:r>
    </w:p>
    <w:p>
      <w:pPr>
        <w:pStyle w:val="Heading1"/>
      </w:pPr>
      <w:r>
        <w:t xml:space="preserve">7. Charge to be discharged</w:t>
      </w:r>
    </w:p>
    <w:p>
      <w:pPr>
        <w:spacing w:after="100"/>
      </w:pPr>
      <w:r>
        <w:t xml:space="preserve">The Pennine Business Bank plc charge dated 9 February 2023 must be discharged on or before completion. We have received an undertaking in the agreed form from Birchall Stone LLP to discharge the charge from the sale proceeds and to forward the DS1/electronic discharge as soon as it is received.</w:t>
      </w:r>
    </w:p>
    <w:p>
      <w:pPr>
        <w:pStyle w:val="Heading1"/>
      </w:pPr>
      <w:r>
        <w:t xml:space="preserve">8. VAT / TOGC</w:t>
      </w:r>
    </w:p>
    <w:p>
      <w:pPr>
        <w:spacing w:after="100"/>
      </w:pPr>
      <w:r>
        <w:t xml:space="preserve">The Seller has opted to tax the Property. The sale is intended to be treated as a TOGC. The Buyer must, before completion, (i) be registered for VAT, (ii) opt to tax the Property and notify HMRC, and (iii) give the TOGC notification required by clause 4 of the contract. We hold the Buyer's draft option to tax (form VAT1614A) ready to submit.</w:t>
      </w:r>
    </w:p>
    <w:p>
      <w:pPr>
        <w:pStyle w:val="Heading1"/>
      </w:pPr>
      <w:r>
        <w:t xml:space="preserve">9. Recommendation</w:t>
      </w:r>
    </w:p>
    <w:p>
      <w:pPr>
        <w:spacing w:after="200"/>
      </w:pPr>
      <w:r>
        <w:t xml:space="preserve">Subject to (a) receipt of the bank's discharge undertaking (now held), (b) resolution of the Unit 5 service-charge query, and (c) completion of the Buyer's option to tax and TOGC notification, we are satisfied that the Buyer may safely proceed to exchange and completion of the acquisition of the Property at the Purchase Price of £14,250,000.</w:t>
      </w:r>
    </w:p>
    <w:p>
      <w:pPr>
        <w:spacing w:after="100"/>
      </w:pPr>
      <w:r>
        <w:rPr>
          <w:b/>
          <w:bCs/>
        </w:rPr>
        <w:t xml:space="preserve">Whitfield Carter LLP</w:t>
      </w:r>
    </w:p>
    <w:p>
      <w:pPr>
        <w:spacing w:after="100"/>
      </w:pPr>
      <w:r>
        <w:rPr>
          <w:color w:val="595959"/>
          <w:sz w:val="18"/>
          <w:szCs w:val="18"/>
        </w:rPr>
        <w:t xml:space="preserve">James Osei, Senior Associate — for and on behalf of the Real Estate team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0"/>
        <w:szCs w:val="20"/>
      </w:rPr>
      <w:t xml:space="preserve">WHITFIELD CARTER LLP</w:t>
    </w:r>
  </w:p>
  <w:p>
    <w:pPr>
      <w:jc w:val="right"/>
    </w:pPr>
    <w:r>
      <w:rPr>
        <w:color w:val="808080"/>
        <w:sz w:val="16"/>
        <w:szCs w:val="16"/>
      </w:rPr>
      <w:t xml:space="preserve">Project Cedar — Report on Title (DRAFT)</w:t>
    </w:r>
  </w:p>
  <w:p>
    <w:pPr>
      <w:pBdr>
        <w:bottom w:val="single" w:color="1F3864" w:sz="4"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50" w:hanging="65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20"/>
      <w:outlineLvl w:val="0"/>
    </w:pPr>
    <w:rPr>
      <w:rFonts w:ascii="Arial" w:cs="Arial" w:eastAsia="Arial" w:hAnsi="Arial"/>
      <w:b/>
      <w:bCs/>
      <w:sz w:val="26"/>
      <w:szCs w:val="26"/>
    </w:rPr>
  </w:style>
  <w:style w:type="paragraph" w:styleId="Heading2">
    <w:name w:val="Heading 2"/>
    <w:basedOn w:val="Normal"/>
    <w:next w:val="Normal"/>
    <w:qFormat/>
    <w:pPr>
      <w:spacing w:after="10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2026-06-26T18:48:00.929Z</dcterms:created>
  <dcterms:modified xsi:type="dcterms:W3CDTF">2026-06-26T18:48:00.929Z</dcterms:modified>
</cp:coreProperties>
</file>

<file path=docProps/custom.xml><?xml version="1.0" encoding="utf-8"?>
<Properties xmlns="http://schemas.openxmlformats.org/officeDocument/2006/custom-properties" xmlns:vt="http://schemas.openxmlformats.org/officeDocument/2006/docPropsVTypes"/>
</file>