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CPSE.1 (version 3.8)</w:t>
      </w:r>
    </w:p>
    <w:p>
      <w:pPr>
        <w:spacing w:after="200"/>
        <w:jc w:val="center"/>
      </w:pPr>
      <w:r>
        <w:rPr>
          <w:sz w:val="20"/>
          <w:szCs w:val="20"/>
        </w:rPr>
        <w:t xml:space="preserve">General Pre-contract Enquiries for all Commercial Property Transactions —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Property</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Maritime Quarter, 1–7 Brunswick Wharf, Bristol BS1 6XG</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Seller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Glennister Estates Limited</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Buyer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Thornbury Properties Limited</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Seller's solicitors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Holloway Pryce LLP</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Date of replies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6 February 2026</w:t>
            </w:r>
          </w:p>
        </w:tc>
      </w:tr>
    </w:tbl>
    <w:p>
      <w:pPr>
        <w:spacing w:after="120"/>
      </w:pPr>
      <w:r>
        <w:rPr>
          <w:i/>
          <w:iCs/>
          <w:color w:val="555555"/>
          <w:sz w:val="18"/>
          <w:szCs w:val="18"/>
        </w:rPr>
        <w:t xml:space="preserve">These replies are given by the Seller's solicitors on the basis of information supplied by the Seller. They are given subject to the General Notes to CPSE.1 and are believed to be correct but are not warranted. The replies relate to the Property as a whole.</w:t>
      </w:r>
    </w:p>
    <w:p>
      <w:pPr>
        <w:pStyle w:val="Heading2"/>
      </w:pPr>
      <w:r>
        <w:t xml:space="preserve">1.  Boundaries and extent</w:t>
      </w:r>
    </w:p>
    <w:p>
      <w:pPr>
        <w:tabs>
          <w:tab w:val="1" w:pos="567"/>
        </w:tabs>
        <w:spacing w:after="40" w:before="120"/>
        <w:ind w:left="567" w:hanging="567"/>
      </w:pPr>
      <w:r>
        <w:rPr>
          <w:b/>
          <w:bCs/>
        </w:rPr>
        <w:t xml:space="preserve">1.1	</w:t>
      </w:r>
      <w:r>
        <w:rPr>
          <w:b/>
          <w:bCs/>
        </w:rPr>
        <w:t xml:space="preserve">In respect of the boundary features, who owns or accepts responsibility for them?</w:t>
      </w:r>
    </w:p>
    <w:p>
      <w:pPr>
        <w:spacing w:after="80"/>
        <w:ind w:left="567"/>
      </w:pPr>
      <w:r>
        <w:rPr>
          <w:i/>
          <w:iCs/>
        </w:rPr>
        <w:t xml:space="preserve">Reply: </w:t>
      </w:r>
      <w:r>
        <w:t xml:space="preserve">The Seller has not carried out any investigation of ownership of the boundary features and is not aware of any boundary feature for which it is responsible save as shown on the title plan. The quay frontage to the north is bounded by the harbour wall maintained by the Bristol Harbour Authority under the matters referred to in the registers.</w:t>
      </w:r>
    </w:p>
    <w:p>
      <w:pPr>
        <w:tabs>
          <w:tab w:val="1" w:pos="567"/>
        </w:tabs>
        <w:spacing w:after="40" w:before="120"/>
        <w:ind w:left="567" w:hanging="567"/>
      </w:pPr>
      <w:r>
        <w:rPr>
          <w:b/>
          <w:bCs/>
        </w:rPr>
        <w:t xml:space="preserve">1.4	</w:t>
      </w:r>
      <w:r>
        <w:rPr>
          <w:b/>
          <w:bCs/>
        </w:rPr>
        <w:t xml:space="preserve">Is the Seller aware of any boundary being moved in the last 10 years or any adverse claim?</w:t>
      </w:r>
    </w:p>
    <w:p>
      <w:pPr>
        <w:spacing w:after="80"/>
        <w:ind w:left="567"/>
      </w:pPr>
      <w:r>
        <w:rPr>
          <w:i/>
          <w:iCs/>
        </w:rPr>
        <w:t xml:space="preserve">Reply: </w:t>
      </w:r>
      <w:r>
        <w:t xml:space="preserve">No, save that the Seller is aware of an informal arrangement permitting the adjoining occupier at 9 Brunswick Wharf to use three of the visitor parking bays in the service yard on weekday evenings. The arrangement is terminable on notice and is referred to in reply 4.2.</w:t>
      </w:r>
    </w:p>
    <w:p>
      <w:pPr>
        <w:pStyle w:val="Heading2"/>
      </w:pPr>
      <w:r>
        <w:t xml:space="preserve">4.  Rights and informal arrangements</w:t>
      </w:r>
    </w:p>
    <w:p>
      <w:pPr>
        <w:tabs>
          <w:tab w:val="1" w:pos="567"/>
        </w:tabs>
        <w:spacing w:after="40" w:before="120"/>
        <w:ind w:left="567" w:hanging="567"/>
      </w:pPr>
      <w:r>
        <w:rPr>
          <w:b/>
          <w:bCs/>
        </w:rPr>
        <w:t xml:space="preserve">4.2	</w:t>
      </w:r>
      <w:r>
        <w:rPr>
          <w:b/>
          <w:bCs/>
        </w:rPr>
        <w:t xml:space="preserve">Please give details of any rights or informal arrangements that the Property enjoys over neighbouring land, or that neighbouring land enjoys over the Property.</w:t>
      </w:r>
    </w:p>
    <w:p>
      <w:pPr>
        <w:spacing w:after="80"/>
        <w:ind w:left="567"/>
      </w:pPr>
      <w:r>
        <w:rPr>
          <w:i/>
          <w:iCs/>
        </w:rPr>
        <w:t xml:space="preserve">Reply: </w:t>
      </w:r>
      <w:r>
        <w:t xml:space="preserve">The Property benefits from rights of way and service media as set out in the registered title. The informal parking arrangement referred to in reply 1.4 affects the Property. The Property shares a refuse store and sprinkler tank with 9 Brunswick Wharf under a deed of grant dated 11 March 2018, a copy of which is in the data room.</w:t>
      </w:r>
    </w:p>
    <w:p>
      <w:pPr>
        <w:pStyle w:val="Heading2"/>
      </w:pPr>
      <w:r>
        <w:t xml:space="preserve">7.  Occupiers and employees</w:t>
      </w:r>
    </w:p>
    <w:p>
      <w:pPr>
        <w:tabs>
          <w:tab w:val="1" w:pos="567"/>
        </w:tabs>
        <w:spacing w:after="40" w:before="120"/>
        <w:ind w:left="567" w:hanging="567"/>
      </w:pPr>
      <w:r>
        <w:rPr>
          <w:b/>
          <w:bCs/>
        </w:rPr>
        <w:t xml:space="preserve">7.1	</w:t>
      </w:r>
      <w:r>
        <w:rPr>
          <w:b/>
          <w:bCs/>
        </w:rPr>
        <w:t xml:space="preserve">Does the Seller occupy the whole of the Property exclusively?</w:t>
      </w:r>
    </w:p>
    <w:p>
      <w:pPr>
        <w:spacing w:after="80"/>
        <w:ind w:left="567"/>
      </w:pPr>
      <w:r>
        <w:rPr>
          <w:i/>
          <w:iCs/>
        </w:rPr>
        <w:t xml:space="preserve">Reply: </w:t>
      </w:r>
      <w:r>
        <w:t xml:space="preserve">No. The Property is let in its entirety to the seven tenants identified in the tenancy schedule (Schedule 2 to the draft Contract). The Seller occupies no part.</w:t>
      </w:r>
    </w:p>
    <w:p>
      <w:pPr>
        <w:tabs>
          <w:tab w:val="1" w:pos="567"/>
        </w:tabs>
        <w:spacing w:after="40" w:before="120"/>
        <w:ind w:left="567" w:hanging="567"/>
      </w:pPr>
      <w:r>
        <w:rPr>
          <w:b/>
          <w:bCs/>
        </w:rPr>
        <w:t xml:space="preserve">7.4	</w:t>
      </w:r>
      <w:r>
        <w:rPr>
          <w:b/>
          <w:bCs/>
        </w:rPr>
        <w:t xml:space="preserve">Are TUPE arrangements relevant?</w:t>
      </w:r>
    </w:p>
    <w:p>
      <w:pPr>
        <w:spacing w:after="80"/>
        <w:ind w:left="567"/>
      </w:pPr>
      <w:r>
        <w:rPr>
          <w:i/>
          <w:iCs/>
        </w:rPr>
        <w:t xml:space="preserve">Reply: </w:t>
      </w:r>
      <w:r>
        <w:t xml:space="preserve">The Seller employs no staff at the Property. Management is undertaken by the Seller's managing agent, Westmoreland Property Management Ltd, under a management agreement terminable on three months' notice, which the Seller will terminate on or before completion. The Seller does not consider TUPE to apply.</w:t>
      </w:r>
    </w:p>
    <w:p>
      <w:pPr>
        <w:pStyle w:val="Heading2"/>
      </w:pPr>
      <w:r>
        <w:t xml:space="preserve">9.  Disputes</w:t>
      </w:r>
    </w:p>
    <w:p>
      <w:pPr>
        <w:tabs>
          <w:tab w:val="1" w:pos="567"/>
        </w:tabs>
        <w:spacing w:after="40" w:before="120"/>
        <w:ind w:left="567" w:hanging="567"/>
      </w:pPr>
      <w:r>
        <w:rPr>
          <w:b/>
          <w:bCs/>
        </w:rPr>
        <w:t xml:space="preserve">9.1	</w:t>
      </w:r>
      <w:r>
        <w:rPr>
          <w:b/>
          <w:bCs/>
        </w:rPr>
        <w:t xml:space="preserve">Please give details of any disputes affecting the Property.</w:t>
      </w:r>
    </w:p>
    <w:p>
      <w:pPr>
        <w:spacing w:after="80"/>
        <w:ind w:left="567"/>
      </w:pPr>
      <w:r>
        <w:rPr>
          <w:i/>
          <w:iCs/>
        </w:rPr>
        <w:t xml:space="preserve">Reply: </w:t>
      </w:r>
      <w:r>
        <w:t xml:space="preserve">Save as disclosed below, the Seller is not aware of any dispute. There is an ongoing rent review with Penrose Analytics Ltd (Suite 202) with a review date of 1 May 2025 which remains outstanding; the Seller's surveyor's current quoting figure is £243,000 p.a. The matter has not been referred to a third party. A copy of the correspondence is in the data room.</w:t>
      </w:r>
    </w:p>
    <w:p>
      <w:pPr>
        <w:pStyle w:val="Heading2"/>
      </w:pPr>
      <w:r>
        <w:t xml:space="preserve">12.  Outgoings and rates</w:t>
      </w:r>
    </w:p>
    <w:p>
      <w:pPr>
        <w:tabs>
          <w:tab w:val="1" w:pos="567"/>
        </w:tabs>
        <w:spacing w:after="40" w:before="120"/>
        <w:ind w:left="567" w:hanging="567"/>
      </w:pPr>
      <w:r>
        <w:rPr>
          <w:b/>
          <w:bCs/>
        </w:rPr>
        <w:t xml:space="preserve">12.1	</w:t>
      </w:r>
      <w:r>
        <w:rPr>
          <w:b/>
          <w:bCs/>
        </w:rPr>
        <w:t xml:space="preserve">Please list the outgoings payable in respect of the Property.</w:t>
      </w:r>
    </w:p>
    <w:p>
      <w:pPr>
        <w:spacing w:after="80"/>
        <w:ind w:left="567"/>
      </w:pPr>
      <w:r>
        <w:rPr>
          <w:i/>
          <w:iCs/>
        </w:rPr>
        <w:t xml:space="preserve">Reply: </w:t>
      </w:r>
      <w:r>
        <w:t xml:space="preserve">Business rates are payable directly by the occupational tenants. The Seller pays buildings insurance (recoverable through the service charge), the management fee, and the cost of the common parts. The most recent service charge budget (year ending 31 December 2026) is £318,400 against actual expenditure of £302,910 for 2025; the reconciliation is in the data room.</w:t>
      </w:r>
    </w:p>
    <w:p>
      <w:pPr>
        <w:pStyle w:val="Heading2"/>
      </w:pPr>
      <w:r>
        <w:t xml:space="preserve">15.  VAT</w:t>
      </w:r>
    </w:p>
    <w:p>
      <w:pPr>
        <w:tabs>
          <w:tab w:val="1" w:pos="567"/>
        </w:tabs>
        <w:spacing w:after="40" w:before="120"/>
        <w:ind w:left="567" w:hanging="567"/>
      </w:pPr>
      <w:r>
        <w:rPr>
          <w:b/>
          <w:bCs/>
        </w:rPr>
        <w:t xml:space="preserve">15.1	</w:t>
      </w:r>
      <w:r>
        <w:rPr>
          <w:b/>
          <w:bCs/>
        </w:rPr>
        <w:t xml:space="preserve">Has the Seller elected to waive exemption (opted to tax) in respect of the Property?</w:t>
      </w:r>
    </w:p>
    <w:p>
      <w:pPr>
        <w:spacing w:after="80"/>
        <w:ind w:left="567"/>
      </w:pPr>
      <w:r>
        <w:rPr>
          <w:i/>
          <w:iCs/>
        </w:rPr>
        <w:t xml:space="preserve">Reply: </w:t>
      </w:r>
      <w:r>
        <w:t xml:space="preserve">Yes. The Seller exercised the option to tax on 2 April 2019 and notified HMRC on 9 April 2019. A copy of the option and HMRC's acknowledgement are in the data room. The parties intend to treat the sale as a transfer of a going concern.</w:t>
      </w:r>
    </w:p>
    <w:p>
      <w:pPr>
        <w:pStyle w:val="Heading2"/>
      </w:pPr>
      <w:r>
        <w:t xml:space="preserve">16.  Transfer of a going concern</w:t>
      </w:r>
    </w:p>
    <w:p>
      <w:pPr>
        <w:tabs>
          <w:tab w:val="1" w:pos="567"/>
        </w:tabs>
        <w:spacing w:after="40" w:before="120"/>
        <w:ind w:left="567" w:hanging="567"/>
      </w:pPr>
      <w:r>
        <w:rPr>
          <w:b/>
          <w:bCs/>
        </w:rPr>
        <w:t xml:space="preserve">16.1	</w:t>
      </w:r>
      <w:r>
        <w:rPr>
          <w:b/>
          <w:bCs/>
        </w:rPr>
        <w:t xml:space="preserve">Does the Seller consider the sale to be a TOGC?</w:t>
      </w:r>
    </w:p>
    <w:p>
      <w:pPr>
        <w:spacing w:after="80"/>
        <w:ind w:left="567"/>
      </w:pPr>
      <w:r>
        <w:rPr>
          <w:i/>
          <w:iCs/>
        </w:rPr>
        <w:t xml:space="preserve">Reply: </w:t>
      </w:r>
      <w:r>
        <w:t xml:space="preserve">Yes. The Property is let as an investment and is being sold with the benefit of the occupational leases. The Seller will require the Buyer's confirmation before completion that it is registered for VAT, has opted to tax and notified HMRC, and that article 5(2B) of the Value Added Tax (Special Provisions) Order 1995 does not apply.</w:t>
      </w:r>
    </w:p>
    <w:p>
      <w:pPr>
        <w:pStyle w:val="Heading2"/>
      </w:pPr>
      <w:r>
        <w:t xml:space="preserve">18.  Insurance</w:t>
      </w:r>
    </w:p>
    <w:p>
      <w:pPr>
        <w:tabs>
          <w:tab w:val="1" w:pos="567"/>
        </w:tabs>
        <w:spacing w:after="40" w:before="120"/>
        <w:ind w:left="567" w:hanging="567"/>
      </w:pPr>
      <w:r>
        <w:rPr>
          <w:b/>
          <w:bCs/>
        </w:rPr>
        <w:t xml:space="preserve">18.1	</w:t>
      </w:r>
      <w:r>
        <w:rPr>
          <w:b/>
          <w:bCs/>
        </w:rPr>
        <w:t xml:space="preserve">Please supply details of the buildings insurance.</w:t>
      </w:r>
    </w:p>
    <w:p>
      <w:pPr>
        <w:spacing w:after="80"/>
        <w:ind w:left="567"/>
      </w:pPr>
      <w:r>
        <w:rPr>
          <w:i/>
          <w:iCs/>
        </w:rPr>
        <w:t xml:space="preserve">Reply: </w:t>
      </w:r>
      <w:r>
        <w:t xml:space="preserve">The Property is insured with Aviva under policy no. C-7741920 with a reinstatement sum of £41,300,000 (index-linked). The premium for the current year is £61,420. There have been no claims in the last three years. A copy of the policy schedule and a summary of cover are in the data room.</w:t>
      </w:r>
    </w:p>
    <w:p>
      <w:pPr>
        <w:pStyle w:val="Heading2"/>
      </w:pPr>
      <w:r>
        <w:t xml:space="preserve">21.  Environmental</w:t>
      </w:r>
    </w:p>
    <w:p>
      <w:pPr>
        <w:tabs>
          <w:tab w:val="1" w:pos="567"/>
        </w:tabs>
        <w:spacing w:after="40" w:before="120"/>
        <w:ind w:left="567" w:hanging="567"/>
      </w:pPr>
      <w:r>
        <w:rPr>
          <w:b/>
          <w:bCs/>
        </w:rPr>
        <w:t xml:space="preserve">21.1	</w:t>
      </w:r>
      <w:r>
        <w:rPr>
          <w:b/>
          <w:bCs/>
        </w:rPr>
        <w:t xml:space="preserve">Is the Seller aware of any contamination or environmental issues affecting the Property?</w:t>
      </w:r>
    </w:p>
    <w:p>
      <w:pPr>
        <w:spacing w:after="80"/>
        <w:ind w:left="567"/>
      </w:pPr>
      <w:r>
        <w:rPr>
          <w:i/>
          <w:iCs/>
        </w:rPr>
        <w:t xml:space="preserve">Reply: </w:t>
      </w:r>
      <w:r>
        <w:t xml:space="preserve">The Seller is not aware of any contamination. A Phase I environmental desk study dated 14 January 2026 commissioned by the Buyer concluded that the risk of significant contamination is low. The Seller has not commissioned any environmental investigation of its own.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2026-06-25T19:29:38.145Z</dcterms:created>
  <dcterms:modified xsi:type="dcterms:W3CDTF">2026-06-25T19:29:38.145Z</dcterms:modified>
</cp:coreProperties>
</file>

<file path=docProps/custom.xml><?xml version="1.0" encoding="utf-8"?>
<Properties xmlns="http://schemas.openxmlformats.org/officeDocument/2006/custom-properties" xmlns:vt="http://schemas.openxmlformats.org/officeDocument/2006/docPropsVTypes"/>
</file>