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COMPLETION CHECKLIST</w:t>
      </w:r>
    </w:p>
    <w:p>
      <w:pPr>
        <w:spacing w:after="40"/>
        <w:jc w:val="center"/>
      </w:pPr>
      <w:r>
        <w:rPr>
          <w:sz w:val="20"/>
          <w:szCs w:val="20"/>
        </w:rPr>
        <w:t xml:space="preserve">Project Harbor — acquisition of Maritime Quarter, 1–7 Brunswick Wharf, Bristol BS1 6XG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Target completion: 27 February 2026 (simultaneous exchange and completion)</w:t>
      </w:r>
    </w:p>
    <w:p>
      <w:pPr>
        <w:pStyle w:val="Heading2"/>
      </w:pPr>
      <w:r>
        <w:t xml:space="preserve">A.  Pre-completion (Buyer)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80"/>
        <w:gridCol w:w="2280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OS1 priority search against title AV428517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Elena Marchetti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 — priority to 10/04/2026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Bankruptcy/Company (K16) search against Buyer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Elena Marchetti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 — clear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Buyer board resolution approving purchase &amp; funding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Thornbury (D. Quigley)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Received 24/02/2026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Buyer's option to tax — notify HMRC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James Osei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Notified 19/02/2026; ack awaited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of funds confirmation (AML)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Thornbury (R. Stone)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Received 17/02/2026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Completion monies requisitioned from client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Sarah Whitfield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hand</w:t>
            </w:r>
          </w:p>
        </w:tc>
      </w:tr>
    </w:tbl>
    <w:p>
      <w:pPr>
        <w:pStyle w:val="Heading2"/>
      </w:pPr>
      <w:r>
        <w:t xml:space="preserve">B.  Documents to be delivered by Seller on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80"/>
        <w:gridCol w:w="2280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 (Standard Commercial Property Conditions 3rd ed.)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Executed counterpart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Engrossment agreed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TR1 transfer of whole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Executed as deed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Agreed form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DS1 / END for Clydesford Bank charge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Undertaking + DS1 to follow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Undertaking agreed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Rent Deposit Deed of Assignment (Brunswick)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Executed as deed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Agreed form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Authority to tenants letters (x7)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Signed, addressed to each tenant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Drafts approved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Originals of the seven Occupational Leases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Originals / certified copies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To be handed over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information pack &amp; service charge accounts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Bundle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data room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Buildings insurance details (Aviva C-7741920)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Policy schedule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Supplied</w:t>
            </w:r>
          </w:p>
        </w:tc>
      </w:tr>
    </w:tbl>
    <w:p>
      <w:pPr>
        <w:pStyle w:val="Heading2"/>
      </w:pPr>
      <w:r>
        <w:t xml:space="preserve">C.  Completion 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22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6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Funds flow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 £29,160,000 plus net apportionments to Holloway Pryce client account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 completion statement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Deposit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10% (£3,240,000) released on exchange, held as stakeholder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Completion undertakings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Law Society Code for Completion by Post (2019)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Adopted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SDLT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 + payment £1,609,500 within 14 days of completion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Drafted (James Osei)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AP1 registration at HMLR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Within priority period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Prepared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Prepared by James Osei; checked by Sarah Whitfield, 25 February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</w:pPr>
    <w:r>
      <w:rPr>
        <w:color w:val="777777"/>
        <w:sz w:val="14"/>
        <w:szCs w:val="14"/>
      </w:rPr>
      <w:t xml:space="preserve">Whitfield Carter LLP  |  WC-00123 Project Harbor  |  </w:t>
    </w:r>
    <w:r>
      <w:rPr>
        <w:color w:val="777777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2026-06-25T19:29:38.159Z</dcterms:created>
  <dcterms:modified xsi:type="dcterms:W3CDTF">2026-06-25T19:29:38.159Z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