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sz w:val="18"/>
          <w:szCs w:val="18"/>
        </w:rPr>
        <w:t xml:space="preserve">Our ref: SW/EM/WC-00123</w:t>
      </w:r>
    </w:p>
    <w:p>
      <w:pPr>
        <w:spacing w:after="200"/>
        <w:jc w:val="right"/>
      </w:pPr>
      <w:r>
        <w:rPr>
          <w:sz w:val="18"/>
          <w:szCs w:val="18"/>
        </w:rPr>
        <w:t xml:space="preserve">12 January 2026</w:t>
      </w:r>
    </w:p>
    <w:p>
      <w:pPr>
        <w:spacing w:after="0"/>
      </w:pPr>
      <w:r>
        <w:t xml:space="preserve">The Directors</w:t>
      </w:r>
    </w:p>
    <w:p>
      <w:pPr>
        <w:spacing w:after="0"/>
      </w:pPr>
      <w:r>
        <w:t xml:space="preserve">Thornbury Properties Limited</w:t>
      </w:r>
    </w:p>
    <w:p>
      <w:pPr>
        <w:spacing w:after="200"/>
      </w:pPr>
      <w:r>
        <w:t xml:space="preserve">Thornbury House, 6 Crosby Court, London EC3V 9SX</w:t>
      </w:r>
    </w:p>
    <w:p>
      <w:pPr>
        <w:spacing w:after="160"/>
      </w:pPr>
      <w:r>
        <w:t xml:space="preserve">Dear Sirs</w:t>
      </w:r>
    </w:p>
    <w:p>
      <w:pPr>
        <w:spacing w:after="160"/>
      </w:pPr>
      <w:r>
        <w:rPr>
          <w:b/>
          <w:bCs/>
        </w:rPr>
        <w:t xml:space="preserve">Proposed acquisition of Maritime Quarter, 1–7 Brunswick Wharf, Bristol BS1 6XG (“Project Harbor”) — Terms of Engagement</w:t>
      </w:r>
    </w:p>
    <w:p>
      <w:pPr>
        <w:spacing w:after="120"/>
      </w:pPr>
      <w:r>
        <w:t xml:space="preserve">We are delighted that Thornbury Properties Limited has instructed Whitfield Carter LLP to act on its behalf in connection with the proposed acquisition of the freehold investment property known as Maritime Quarter, 1–7 Brunswick Wharf, Bristol BS1 6XG (the “Property”) from Glennister Estates Limited (the “Seller”). This letter, together with our enclosed standard Terms of Business, sets out the basis on which we will act.</w:t>
      </w:r>
    </w:p>
    <w:p>
      <w:pPr>
        <w:pStyle w:val="Heading2"/>
      </w:pPr>
      <w:r>
        <w:t xml:space="preserve">1. Scope of work</w:t>
      </w:r>
    </w:p>
    <w:p>
      <w:pPr>
        <w:spacing w:after="120"/>
      </w:pPr>
      <w:r>
        <w:t xml:space="preserve">Our retainer comprises: (a) review of title and the replies to commercial property standard enquiries (CPSE) and raising and resolving requisitions; (b) review of the tenancy documentation and the apportionment of rents and service charge; (c) negotiation and settlement of the sale contract and transfer; (d) reporting to you on title and the results of our due diligence; (e) exchange of contracts, completion and post-completion registration at HM Land Registry; and (f) submission of the Stamp Duty Land Tax (SDLT) return. Tax structuring advice beyond the application of the transfer of a going concern (TOGC) treatment, and any environmental or building-survey advice, fall outside this retainer and will be addressed by your other professional advisers.</w:t>
      </w:r>
    </w:p>
    <w:p>
      <w:pPr>
        <w:pStyle w:val="Heading2"/>
      </w:pPr>
      <w:r>
        <w:t xml:space="preserve">2. People responsible</w:t>
      </w:r>
    </w:p>
    <w:p>
      <w:pPr>
        <w:spacing w:after="120"/>
      </w:pPr>
      <w:r>
        <w:t xml:space="preserve">The matter will be led by Sarah Whitfield (Partner), supported by James Osei (Senior Associate) and Elena Marchetti (Associate). Sarah Whitfield has overall responsibility for the work and for your satisfaction with our service.</w:t>
      </w:r>
    </w:p>
    <w:p>
      <w:pPr>
        <w:pStyle w:val="Heading2"/>
      </w:pPr>
      <w:r>
        <w:t xml:space="preserve">3. Our fees</w:t>
      </w:r>
    </w:p>
    <w:p>
      <w:pPr>
        <w:spacing w:after="120"/>
      </w:pPr>
      <w:r>
        <w:t xml:space="preserve">We estimate our fees for the work described above at between £58,000 and £72,000 plus VAT and disbursements, based on the current charge-out rates of the individuals involved (Partner £620/hour; Senior Associate £415/hour; Associate £305/hour). Disbursements will include HM Land Registry fees, search fees and the SDLT payable on completion (estimated at £1,609,500 on a consideration of £32,400,000). We will notify you promptly if it appears that our estimate is likely to be exceeded.</w:t>
      </w:r>
    </w:p>
    <w:p>
      <w:pPr>
        <w:pStyle w:val="Heading2"/>
      </w:pPr>
      <w:r>
        <w:t xml:space="preserve">4. Anti-money laundering and source of funds</w:t>
      </w:r>
    </w:p>
    <w:p>
      <w:pPr>
        <w:spacing w:after="120"/>
      </w:pPr>
      <w:r>
        <w:t xml:space="preserve">We are required by the Money Laundering, Terrorist Financing and Transfer of Funds (Information on the Payer) Regulations 2017 to verify the identity of our client and the source of the funds applied to the purchase. We have completed our client due diligence on Thornbury Properties Limited and ask that you confirm in writing the source of the completion monies before exchange.</w:t>
      </w:r>
    </w:p>
    <w:p>
      <w:pPr>
        <w:pStyle w:val="Heading2"/>
      </w:pPr>
      <w:r>
        <w:t xml:space="preserve">5. Terms of business</w:t>
      </w:r>
    </w:p>
    <w:p>
      <w:pPr>
        <w:spacing w:after="120"/>
      </w:pPr>
      <w:r>
        <w:t xml:space="preserve">Our enclosed Terms of Business apply to this engagement, including our provisions on confidentiality, limitation of liability (capped at £20 million for this matter), complaints handling and the right to cancel. Please sign and return the enclosed duplicate of this letter to confirm your acceptance of those terms.</w:t>
      </w:r>
    </w:p>
    <w:p>
      <w:pPr>
        <w:spacing w:after="120"/>
      </w:pPr>
      <w:r>
        <w:t xml:space="preserve">We look forward to working with you on this acquisition. Please do not hesitate to contact me with any questions.</w:t>
      </w:r>
    </w:p>
    <w:p>
      <w:pPr>
        <w:spacing w:after="240"/>
      </w:pPr>
      <w:r>
        <w:t xml:space="preserve">Yours faithfully</w:t>
      </w:r>
    </w:p>
    <w:p>
      <w:pPr>
        <w:spacing w:after="0"/>
      </w:pPr>
      <w:r>
        <w:rPr>
          <w:b/>
          <w:bCs/>
        </w:rPr>
        <w:t xml:space="preserve">Sarah Whitfield</w:t>
      </w:r>
    </w:p>
    <w:p>
      <w:pPr>
        <w:spacing w:after="200"/>
      </w:pPr>
      <w:r>
        <w:t xml:space="preserve">Partner, for and on behalf of Whitfield Carter LLP</w:t>
      </w:r>
    </w:p>
    <w:p>
      <w:pPr>
        <w:spacing w:after="120"/>
      </w:pPr>
      <w:r>
        <w:rPr>
          <w:i/>
          <w:iCs/>
          <w:color w:val="666666"/>
          <w:sz w:val="18"/>
          <w:szCs w:val="18"/>
        </w:rPr>
        <w:t xml:space="preserve">Enc. Terms of Business; duplicate for signature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pPr>
    <w:r>
      <w:rPr>
        <w:color w:val="777777"/>
        <w:sz w:val="14"/>
        <w:szCs w:val="14"/>
      </w:rPr>
      <w:t xml:space="preserve">Whitfield Carter LLP  |  WC-00123 Project Harbor  |  </w:t>
    </w:r>
    <w:r>
      <w:rPr>
        <w:color w:val="777777"/>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4E66"/>
        <w:sz w:val="30"/>
        <w:szCs w:val="30"/>
      </w:rPr>
      <w:t xml:space="preserve">Whitfield Carter LLP</w:t>
    </w:r>
  </w:p>
  <w:p>
    <w:pPr>
      <w:pBdr>
        <w:bottom w:val="single" w:color="1F4E66" w:sz="8" w:space="4"/>
      </w:pBdr>
      <w:spacing w:after="40"/>
    </w:pPr>
    <w:r>
      <w:rPr>
        <w:color w:val="777777"/>
        <w:sz w:val="15"/>
        <w:szCs w:val="15"/>
      </w:rPr>
      <w:t xml:space="preserve">Solicitors  ·  22 Bishopsgate, London EC2N 4BQ  ·  DX 178 London City  ·  +44 (0)20 7946 0521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2026-06-25T19:29:38.119Z</dcterms:created>
  <dcterms:modified xsi:type="dcterms:W3CDTF">2026-06-25T19:29:38.119Z</dcterms:modified>
</cp:coreProperties>
</file>

<file path=docProps/custom.xml><?xml version="1.0" encoding="utf-8"?>
<Properties xmlns="http://schemas.openxmlformats.org/officeDocument/2006/custom-properties" xmlns:vt="http://schemas.openxmlformats.org/officeDocument/2006/docPropsVTypes"/>
</file>