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0"/>
          <w:szCs w:val="30"/>
        </w:rPr>
        <w:t xml:space="preserve">HEADS OF TERMS</w:t>
      </w:r>
    </w:p>
    <w:p>
      <w:pPr>
        <w:spacing w:after="40"/>
        <w:jc w:val="center"/>
      </w:pPr>
      <w:r>
        <w:rPr>
          <w:b/>
          <w:bCs/>
          <w:color w:val="1F4E66"/>
          <w:sz w:val="24"/>
          <w:szCs w:val="24"/>
        </w:rPr>
        <w:t xml:space="preserve">Project Harbor</w:t>
      </w:r>
    </w:p>
    <w:p>
      <w:pPr>
        <w:spacing w:after="200"/>
        <w:jc w:val="center"/>
      </w:pPr>
      <w:r>
        <w:rPr>
          <w:sz w:val="20"/>
          <w:szCs w:val="20"/>
        </w:rPr>
        <w:t xml:space="preserve">Freehold investment sale of Maritime Quarter, 1–7 Brunswick Wharf, Bristol BS1 6XG</w:t>
      </w:r>
    </w:p>
    <w:p>
      <w:pPr>
        <w:spacing w:after="120"/>
        <w:jc w:val="center"/>
      </w:pPr>
      <w:r>
        <w:rPr>
          <w:b/>
          <w:bCs/>
          <w:color w:val="B00000"/>
        </w:rPr>
        <w:t xml:space="preserve">Subject to Contract · Strictly Private &amp; Confidential</w:t>
      </w:r>
    </w:p>
    <w:p>
      <w:pPr>
        <w:spacing w:after="120"/>
      </w:pPr>
      <w:r>
        <w:rPr>
          <w:i/>
          <w:iCs/>
          <w:sz w:val="19"/>
          <w:szCs w:val="19"/>
        </w:rPr>
        <w:t xml:space="preserve">These heads of terms record the principal commercial terms agreed in principle between the parties. They are not intended to be legally binding (save for the provisions on exclusivity, costs and confidentiality below) and are subject to contract and to satisfactory due diligence.</w:t>
      </w:r>
    </w:p>
    <w:p>
      <w:pPr>
        <w:pStyle w:val="Heading2"/>
      </w:pPr>
      <w:r>
        <w:t xml:space="preserve">Principal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Property</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Maritime Quarter, 1–7 Brunswick Wharf, Bristol BS1 6XG (freehold; HM Land Registry title no. AV428517)</w:t>
            </w:r>
          </w:p>
        </w:tc>
      </w:tr>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Seller</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Glennister Estates Limited (company no. 04488170)</w:t>
            </w:r>
          </w:p>
        </w:tc>
      </w:tr>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Buyer</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Thornbury Properties Limited (company no. 06122418)</w:t>
            </w:r>
          </w:p>
        </w:tc>
      </w:tr>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Tenure</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Freehold, sold subject to and with the benefit of the existing occupational leases</w:t>
            </w:r>
          </w:p>
        </w:tc>
      </w:tr>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Purchase price</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£32,400,000 (exclusive of VAT)</w:t>
            </w:r>
          </w:p>
        </w:tc>
      </w:tr>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VAT / TOGC</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The sale is intended to be treated as a transfer of a going concern. The Buyer will opt to tax and notify HMRC before completion.</w:t>
            </w:r>
          </w:p>
        </w:tc>
      </w:tr>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Deposit</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10% (£3,240,000) payable on exchange, held by the Seller's solicitors as stakeholder</w:t>
            </w:r>
          </w:p>
        </w:tc>
      </w:tr>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Passing rent</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£2,138,400 per annum (aggregate, as at the date of these heads of terms)</w:t>
            </w:r>
          </w:p>
        </w:tc>
      </w:tr>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Net initial yield</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6.25% (after standard purchaser's costs)</w:t>
            </w:r>
          </w:p>
        </w:tc>
      </w:tr>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WAULT</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approximately 6.8 years to expiry / 5.9 years to first break</w:t>
            </w:r>
          </w:p>
        </w:tc>
      </w:tr>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Exclusivity</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The Seller grants the Buyer an exclusivity period of 6 weeks during which it will not negotiate with any third party.</w:t>
            </w:r>
          </w:p>
        </w:tc>
      </w:tr>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Conditions</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Satisfactory replies to CPSE enquiries, clear searches, and approval of title and tenancy documentation</w:t>
            </w:r>
          </w:p>
        </w:tc>
      </w:tr>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Target exchange</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27 February 2026</w:t>
            </w:r>
          </w:p>
        </w:tc>
      </w:tr>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Target completion</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On exchange, or such later date as the parties agree (long-stop 30 April 2026)</w:t>
            </w:r>
          </w:p>
        </w:tc>
      </w:tr>
    </w:tbl>
    <w:p>
      <w:pPr>
        <w:pStyle w:val="Heading2"/>
      </w:pPr>
      <w:r>
        <w:t xml:space="preserve">Tenancy summary (indicative)</w:t>
      </w:r>
    </w:p>
    <w:p>
      <w:pPr>
        <w:spacing w:after="120"/>
      </w:pPr>
      <w:r>
        <w:rPr>
          <w:sz w:val="19"/>
          <w:szCs w:val="19"/>
        </w:rPr>
        <w:t xml:space="preserve">The Property is a multi-let waterfront office and leisure investment comprising five office suites and two ground-floor leisure units, currently let to seven tenants. A full tenancy schedule will be provided in the data room. The principal tenant, Brunswick Maritime Services Limited, accounts for approximately 41% of the passing rent.</w:t>
      </w:r>
    </w:p>
    <w:p>
      <w:pPr>
        <w:pStyle w:val="Heading2"/>
      </w:pPr>
      <w:r>
        <w:t xml:space="preserve">Legal advisers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Buyer's solicitors</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Whitfield Carter LLP, 22 Bishopsgate, London EC2N 4BQ (Sarah Whitfield / James Osei)</w:t>
            </w:r>
          </w:p>
        </w:tc>
      </w:tr>
      <w:tr>
        <w:tc>
          <w:tcPr>
            <w:tcW w:type="dxa" w:w="3000"/>
            <w:tcBorders>
              <w:top w:val="single" w:color="BBBBBB" w:sz="1"/>
              <w:left w:val="single" w:color="BBBBBB" w:sz="1"/>
              <w:bottom w:val="single" w:color="BBBBBB" w:sz="1"/>
              <w:right w:val="single" w:color="BBBBBB" w:sz="1"/>
            </w:tcBorders>
            <w:shd w:fill="EEF3F7" w:val="clear"/>
            <w:tcMar>
              <w:top w:type="dxa" w:w="60"/>
              <w:left w:type="dxa" w:w="120"/>
              <w:bottom w:type="dxa" w:w="60"/>
              <w:right w:type="dxa" w:w="120"/>
            </w:tcMar>
          </w:tcPr>
          <w:p>
            <w:r>
              <w:rPr>
                <w:b/>
                <w:bCs/>
                <w:sz w:val="19"/>
                <w:szCs w:val="19"/>
              </w:rPr>
              <w:t xml:space="preserve">Seller's solicitors</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9"/>
                <w:szCs w:val="19"/>
              </w:rPr>
              <w:t xml:space="preserve">Holloway Pryce LLP, 55 Colston Avenue, Bristol BS1 4SD</w:t>
            </w:r>
          </w:p>
        </w:tc>
      </w:tr>
    </w:tbl>
    <w:p>
      <w:pPr>
        <w:pStyle w:val="Heading2"/>
      </w:pPr>
      <w:r>
        <w:t xml:space="preserve">Costs</w:t>
      </w:r>
    </w:p>
    <w:p>
      <w:pPr>
        <w:spacing w:after="120"/>
      </w:pPr>
      <w:r>
        <w:rPr>
          <w:sz w:val="19"/>
          <w:szCs w:val="19"/>
        </w:rPr>
        <w:t xml:space="preserve">Each party will bear its own legal and professional costs. If the Buyer withdraws other than as a result of a matter disclosed in due diligence or a breach by the Seller, the Buyer will contribute £7,500 plus VAT towards the Seller's abortive costs.</w:t>
      </w:r>
    </w:p>
    <w:p>
      <w:pPr>
        <w:spacing w:before="240"/>
      </w:pPr>
      <w:r>
        <w:rPr>
          <w:b/>
          <w:bCs/>
        </w:rPr>
        <w:t xml:space="preserve">Agreed in principle, subject to contract:</w:t>
      </w:r>
    </w:p>
    <w:p>
      <w:pPr>
        <w:spacing w:after="80"/>
      </w:pPr>
      <w:r>
        <w:rPr>
          <w:sz w:val="19"/>
          <w:szCs w:val="19"/>
        </w:rPr>
        <w:t xml:space="preserve">For Thornbury Properties Limited: ............................. (Daniel Quigley, Managing Director)   Date: ...........</w:t>
      </w:r>
    </w:p>
    <w:p>
      <w:pPr>
        <w:spacing w:after="120"/>
      </w:pPr>
      <w:r>
        <w:rPr>
          <w:sz w:val="19"/>
          <w:szCs w:val="19"/>
        </w:rPr>
        <w:t xml:space="preserve">For Glennister Estates Limited: ............................. (Hugh Glennister, Director)   Date: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pPr>
    <w:r>
      <w:rPr>
        <w:color w:val="777777"/>
        <w:sz w:val="14"/>
        <w:szCs w:val="14"/>
      </w:rPr>
      <w:t xml:space="preserve">Whitfield Carter LLP  |  WC-00123 Project Harbor  |  </w:t>
    </w:r>
    <w:r>
      <w:rPr>
        <w:color w:val="777777"/>
        <w:sz w:val="14"/>
        <w:szCs w:val="14"/>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2026-06-25T19:29:38.134Z</dcterms:created>
  <dcterms:modified xsi:type="dcterms:W3CDTF">2026-06-25T19:29:38.135Z</dcterms:modified>
</cp:coreProperties>
</file>

<file path=docProps/custom.xml><?xml version="1.0" encoding="utf-8"?>
<Properties xmlns="http://schemas.openxmlformats.org/officeDocument/2006/custom-properties" xmlns:vt="http://schemas.openxmlformats.org/officeDocument/2006/docPropsVTypes"/>
</file>