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REPORT ON TITLE</w:t>
      </w:r>
    </w:p>
    <w:p>
      <w:pPr>
        <w:spacing w:after="40"/>
        <w:jc w:val="center"/>
      </w:pPr>
      <w:r>
        <w:rPr>
          <w:b/>
          <w:bCs/>
          <w:color w:val="1F4E66"/>
          <w:sz w:val="24"/>
          <w:szCs w:val="24"/>
        </w:rPr>
        <w:t xml:space="preserve">Project Harbor</w:t>
      </w:r>
    </w:p>
    <w:p>
      <w:pPr>
        <w:spacing w:after="40"/>
        <w:jc w:val="center"/>
      </w:pPr>
      <w:r>
        <w:rPr>
          <w:sz w:val="20"/>
          <w:szCs w:val="20"/>
        </w:rPr>
        <w:t xml:space="preserve">Acquisition of Maritime Quarter, 1–7 Brunswick Wharf, Bristol BS1 6XG</w:t>
      </w:r>
    </w:p>
    <w:p>
      <w:pPr>
        <w:spacing w:after="40"/>
        <w:jc w:val="center"/>
      </w:pPr>
      <w:r>
        <w:rPr>
          <w:sz w:val="18"/>
          <w:szCs w:val="18"/>
        </w:rPr>
        <w:t xml:space="preserve">Prepared for Thornbury Properties Limited by Whitfield Carter LLP</w:t>
      </w:r>
    </w:p>
    <w:p>
      <w:pPr>
        <w:spacing w:after="40"/>
        <w:jc w:val="center"/>
      </w:pPr>
      <w:r>
        <w:rPr>
          <w:i/>
          <w:iCs/>
          <w:color w:val="B00000"/>
          <w:sz w:val="16"/>
          <w:szCs w:val="16"/>
        </w:rPr>
        <w:t xml:space="preserve">Strictly private &amp; confidential — subject to legal professional privilege</w:t>
      </w:r>
    </w:p>
    <w:p>
      <w:pPr>
        <w:spacing w:after="240"/>
        <w:jc w:val="center"/>
      </w:pPr>
      <w:r>
        <w:rPr>
          <w:color w:val="777777"/>
          <w:sz w:val="16"/>
          <w:szCs w:val="16"/>
        </w:rPr>
        <w:t xml:space="preserve">Date: 13 February 2026   ·   Our ref: SW/EM/WC-00123</w:t>
      </w:r>
    </w:p>
    <w:p>
      <w:pPr>
        <w:pStyle w:val="Heading1"/>
      </w:pPr>
      <w:r>
        <w:t xml:space="preserve">1.  Executive summary</w:t>
      </w:r>
    </w:p>
    <w:p>
      <w:pPr>
        <w:spacing w:after="120"/>
      </w:pPr>
      <w:r>
        <w:t xml:space="preserve">This report sets out the results of our investigation of title to and due diligence on Maritime Quarter, 1–7 Brunswick Wharf, Bristol BS1 6XG (the “Property”), which Thornbury Properties Limited (the “Buyer”) proposes to acquire from Glennister Estates Limited (the “Seller”) for £32,400,000 (exclusive of VAT). The Property is a multi-let waterfront office and leisure investment producing a passing rent of £2,138,400 per annum, reflecting a net initial yield of 6.25% and a weighted average unexpired lease term (WAULT) of approximately 6.8 years to expiry (5.9 years to first break).</w:t>
      </w:r>
    </w:p>
    <w:p>
      <w:pPr>
        <w:spacing w:after="120"/>
      </w:pPr>
      <w:r>
        <w:t xml:space="preserve">Subject to the matters set out in section 6 (Matters requiring attention) and to satisfactory replies to our outstanding requisitions, we consider that the Property has a good and marketable title that may safely be acquired at the proposed price. We draw particular attention to: (a) the outstanding rent review with Penrose Analytics Ltd; (b) the 2026 tenant break option held by Harbourside Media Ltd; (c) the informal parking arrangement with 9 Brunswick Wharf; and (d) the need to discharge the Seller's bank charge on completion.</w:t>
      </w:r>
    </w:p>
    <w:p>
      <w:pPr>
        <w:pStyle w:val="Heading1"/>
      </w:pPr>
      <w:r>
        <w:t xml:space="preserve">2.  The Property and title</w:t>
      </w:r>
    </w:p>
    <w:p>
      <w:pPr>
        <w:spacing w:after="120"/>
      </w:pPr>
      <w:r>
        <w:t xml:space="preserve">The Property is registered at HM Land Registry with title absolute under title number AV428517. Our official copies are dated 28 January 2026 and show the Seller as registered proprietor with no adverse entries other than the registered charge referred to below. The title plan shows the extent edged red, comprising the five-storey building, 38 car parking spaces, the service yard and the landscaped quay frontage.</w:t>
      </w:r>
    </w:p>
    <w:p>
      <w:pPr>
        <w:spacing w:after="120"/>
      </w:pPr>
      <w:r>
        <w:t xml:space="preserve">The Charges Register contains: (a) the matters referred to in a Transfer dated 14 May 2002 (rights of way and service media benefiting and burdening the Property); (b) a Deed of Grant dated 11 March 2018 relating to the shared refuse store and sprinkler tank with 9 Brunswick Wharf; and (c) a registered charge dated 4 May 2019 in favour of Clydesford Bank plc. The charge will be discharged on completion (see section 6.4).</w:t>
      </w:r>
    </w:p>
    <w:p>
      <w:pPr>
        <w:pStyle w:val="Heading1"/>
      </w:pPr>
      <w:r>
        <w:t xml:space="preserve">3.  Tenancies</w:t>
      </w:r>
    </w:p>
    <w:p>
      <w:pPr>
        <w:spacing w:after="120"/>
      </w:pPr>
      <w:r>
        <w:t xml:space="preserve">The Property is let to seven tenants under the leases summarised in the tenancy schedule (appended). The aggregate passing rent is £2,138,400 per annum. The principal tenant, Brunswick Maritime Services Limited, occupies the two ground-floor leisure units and accounts for approximately 41% of income, with a tenant break option exercisable in June 2029. We have reviewed each lease and the apportionment of service charge and consider the leases to be on institutionally acceptable terms, with full repairing and insuring obligations and upward-only rent reviews.</w:t>
      </w:r>
    </w:p>
    <w:p>
      <w:pPr>
        <w:pStyle w:val="Heading1"/>
      </w:pPr>
      <w:r>
        <w:t xml:space="preserve">4.  Searches</w:t>
      </w:r>
    </w:p>
    <w:p>
      <w:pPr>
        <w:spacing w:after="120"/>
      </w:pPr>
      <w:r>
        <w:t xml:space="preserve">We have received and reviewed: a local authority search (CON29 and LLC1) revealing no adverse entries other than the adopted highway status of Brunswick Wharf; a drainage and water search confirming mains connection and a public sewer crossing the service yard within an existing easement; an environmental desk study (low risk); a chancel repair search (no liability); and a flood risk report. The Property lies within Flood Zone 2 (medium probability) by reason of its waterfront location; existing flood defences and the building's raised ground floor mitigate the risk, and buildings insurance includes flood cover. We recommend the Buyer satisfies itself as to the adequacy of flood cover going forward.</w:t>
      </w:r>
    </w:p>
    <w:p>
      <w:pPr>
        <w:pStyle w:val="Heading1"/>
      </w:pPr>
      <w:r>
        <w:t xml:space="preserve">5.  VAT and SDLT</w:t>
      </w:r>
    </w:p>
    <w:p>
      <w:pPr>
        <w:spacing w:after="120"/>
      </w:pPr>
      <w:r>
        <w:t xml:space="preserve">The Seller has opted to tax and notified HMRC. The parties intend to treat the sale as a TOGC, which requires the Buyer to be VAT-registered, to opt to tax and notify HMRC before completion, and to confirm that the capital goods scheme article does not apply. On that basis no VAT is payable on the price. SDLT of £1,609,500 is payable on the consideration of £32,400,000 (non-residential rates) within 14 days of completion.</w:t>
      </w:r>
    </w:p>
    <w:p>
      <w:pPr>
        <w:pStyle w:val="Heading1"/>
      </w:pPr>
      <w:r>
        <w:t xml:space="preserve">6.  Matters requiring attention</w:t>
      </w:r>
    </w:p>
    <w:p>
      <w:pPr>
        <w:spacing w:after="120"/>
      </w:pPr>
      <w:r>
        <w:rPr>
          <w:sz w:val="19"/>
          <w:szCs w:val="19"/>
        </w:rPr>
        <w:t xml:space="preserve">6.1  Penrose Analytics rent review. The 1 May 2025 review remains outstanding (current quoting figure £243,000 p.a. against passing £228,000). We recommend the completion statement reflects the passing rent only, with a mechanism for the Buyer to retain the benefit of any uplift agreed after completion.</w:t>
      </w:r>
    </w:p>
    <w:p>
      <w:pPr>
        <w:spacing w:after="120"/>
      </w:pPr>
      <w:r>
        <w:rPr>
          <w:sz w:val="19"/>
          <w:szCs w:val="19"/>
        </w:rPr>
        <w:t xml:space="preserve">6.2  Harbourside Media break (Suite 201). The tenant holds a break option in September 2026. The valuation should reflect the void risk. No pre-completion notice has been served.</w:t>
      </w:r>
    </w:p>
    <w:p>
      <w:pPr>
        <w:spacing w:after="120"/>
      </w:pPr>
      <w:r>
        <w:rPr>
          <w:sz w:val="19"/>
          <w:szCs w:val="19"/>
        </w:rPr>
        <w:t xml:space="preserve">6.3  Informal parking arrangement. The arrangement permitting 9 Brunswick Wharf to use three visitor bays is terminable on notice. We recommend obtaining the Seller's confirmation that no estoppel or prescriptive right has arisen and that the arrangement may be terminated.</w:t>
      </w:r>
    </w:p>
    <w:p>
      <w:pPr>
        <w:spacing w:after="120"/>
      </w:pPr>
      <w:r>
        <w:rPr>
          <w:sz w:val="19"/>
          <w:szCs w:val="19"/>
        </w:rPr>
        <w:t xml:space="preserve">6.4  Clydesford Bank charge. To be discharged on completion. We have agreed to accept the Seller's solicitors' undertaking to discharge and to provide the DS1/END, in lieu of completion of the discharge before completion.</w:t>
      </w:r>
    </w:p>
    <w:p>
      <w:pPr>
        <w:spacing w:after="120"/>
      </w:pPr>
      <w:r>
        <w:rPr>
          <w:sz w:val="19"/>
          <w:szCs w:val="19"/>
        </w:rPr>
        <w:t xml:space="preserve">6.5  Management agreement / TUPE. The Seller will terminate the managing agent appointment on completion. We are satisfied TUPE does not apply as no employees are engaged at the Property.</w:t>
      </w:r>
    </w:p>
    <w:p>
      <w:pPr>
        <w:pStyle w:val="Heading1"/>
      </w:pPr>
      <w:r>
        <w:t xml:space="preserve">7.  Recommendation</w:t>
      </w:r>
    </w:p>
    <w:p>
      <w:pPr>
        <w:spacing w:after="120"/>
      </w:pPr>
      <w:r>
        <w:t xml:space="preserve">Subject to satisfactory resolution of the outstanding requisitions and the matters in section 6, and to receipt of the Seller's solicitors' completion undertakings, we recommend that the Buyer proceeds to exchange and completion on the terms of the negotiated Contract. We will report further on any material change before exchange.</w:t>
      </w:r>
    </w:p>
    <w:p>
      <w:pPr>
        <w:spacing w:after="0"/>
      </w:pPr>
      <w:r>
        <w:rPr>
          <w:b/>
          <w:bCs/>
        </w:rPr>
        <w:t xml:space="preserve">Whitfield Carter LLP</w:t>
      </w:r>
    </w:p>
    <w:p>
      <w:pPr>
        <w:spacing w:after="120"/>
      </w:pPr>
      <w:r>
        <w:rPr>
          <w:color w:val="777777"/>
          <w:sz w:val="18"/>
          <w:szCs w:val="18"/>
        </w:rPr>
        <w:t xml:space="preserve">13 February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pPr>
    <w:r>
      <w:rPr>
        <w:color w:val="777777"/>
        <w:sz w:val="14"/>
        <w:szCs w:val="14"/>
      </w:rPr>
      <w:t xml:space="preserve">Whitfield Carter LLP  |  WC-00123 Project Harbor  |  </w:t>
    </w:r>
    <w:r>
      <w:rPr>
        <w:color w:val="777777"/>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2026-06-25T19:29:38.170Z</dcterms:created>
  <dcterms:modified xsi:type="dcterms:W3CDTF">2026-06-25T19:29:38.170Z</dcterms:modified>
</cp:coreProperties>
</file>

<file path=docProps/custom.xml><?xml version="1.0" encoding="utf-8"?>
<Properties xmlns="http://schemas.openxmlformats.org/officeDocument/2006/custom-properties" xmlns:vt="http://schemas.openxmlformats.org/officeDocument/2006/docPropsVTypes"/>
</file>