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30"/>
          <w:szCs w:val="30"/>
        </w:rPr>
        <w:t xml:space="preserve">Whitfield Carter LLP</w:t>
      </w:r>
    </w:p>
    <w:p>
      <w:pPr>
        <w:spacing w:after="20"/>
      </w:pPr>
      <w:r>
        <w:rPr>
          <w:i/>
          <w:iCs/>
          <w:sz w:val="18"/>
          <w:szCs w:val="18"/>
        </w:rPr>
        <w:t xml:space="preserve">Solicitors</w:t>
      </w:r>
    </w:p>
    <w:p>
      <w:pPr>
        <w:pBdr>
          <w:bottom w:val="single" w:color="2E4C7E" w:sz="6" w:space="4"/>
        </w:pBdr>
        <w:spacing w:after="240"/>
      </w:pPr>
      <w:r>
        <w:rPr>
          <w:sz w:val="16"/>
          <w:szCs w:val="16"/>
        </w:rPr>
        <w:t xml:space="preserve">22 Bishopsgate, London EC2N 4BQ  |  DX 178 London City  |  +44 (0)20 7946 0822  |  www.whitfieldcarter.com</w:t>
      </w:r>
    </w:p>
    <w:p>
      <w:pPr>
        <w:pStyle w:val="Heading1"/>
        <w:jc w:val="center"/>
      </w:pPr>
      <w:r>
        <w:t xml:space="preserve">REPLIES TO COMMERCIAL PROPERTY STANDARD ENQUIRIES (CPSE.1)</w:t>
      </w:r>
    </w:p>
    <w:p>
      <w:pPr>
        <w:spacing w:after="60"/>
        <w:jc w:val="center"/>
      </w:pPr>
      <w:r>
        <w:t xml:space="preserve">Quartz House, 14-18 Forbury Road, Reading RG1 3JH</w:t>
      </w:r>
    </w:p>
    <w:p>
      <w:pPr>
        <w:spacing w:after="200"/>
        <w:jc w:val="center"/>
      </w:pPr>
      <w:r>
        <w:t xml:space="preserve">Replies given by Marlowe Greaves LLP on behalf of Calderdale Asset Holdings Limited - 6 March 2026</w:t>
      </w:r>
    </w:p>
    <w:p>
      <w:pPr>
        <w:spacing w:after="120"/>
      </w:pPr>
      <w:r>
        <w:t xml:space="preserve">These replies are given on behalf of the Seller and may be relied on subject to the General Conditions of the CPSE.1 (version 3.8). The replies are given without liability on the part of the solicitors giving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No.</w:t>
            </w:r>
          </w:p>
        </w:tc>
        <w:tc>
          <w:tcPr>
            <w:tcW w:type="dxa" w:w="438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Enquiry</w:t>
            </w:r>
          </w:p>
        </w:tc>
        <w:tc>
          <w:tcPr>
            <w:tcW w:type="dxa" w:w="4380"/>
            <w:tcBorders>
              <w:top w:val="single" w:color="999999" w:sz="1"/>
              <w:left w:val="single" w:color="999999" w:sz="1"/>
              <w:bottom w:val="single" w:color="999999" w:sz="1"/>
              <w:right w:val="single" w:color="999999" w:sz="1"/>
            </w:tcBorders>
            <w:shd w:fill="EEF2F8" w:val="clear"/>
            <w:tcMar>
              <w:top w:type="dxa" w:w="60"/>
              <w:left w:type="dxa" w:w="120"/>
              <w:bottom w:type="dxa" w:w="60"/>
              <w:right w:type="dxa" w:w="120"/>
            </w:tcMar>
          </w:tcPr>
          <w:p>
            <w:r>
              <w:rPr>
                <w:b/>
                <w:bCs/>
              </w:rPr>
              <w:t xml:space="preserve">Reply</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1.1</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Boundaries - who owns and maintains the boundary features?</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boundaries are as shown on the title plan to title BK482913. The Seller is not aware of any boundary maintenance obligations beyond the registered title.</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2.1</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Are there any disputes relating to the Property or any neighbouring property?</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Seller is not aware of any disputes, save for an ongoing service-charge query raised by the tenant of Unit 1 (Carrington Wealth LLP) regarding the 2024 service-charge reconciliation, which is being resolved with the managing agent.</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3.1</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Please give details of all notices affecting the Property.</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 party-wall notice was served by the adjoining owner at 20 Forbury Road in 2024 in respect of works now completed. No other notices affect the Property.</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4.1</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Please supply details of the Property's VAT status.</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Seller has opted to tax the Property with effect from 1 April 2019. The sale is intended to be a TOGC.</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5.1</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Please confirm the Property has the benefit of all rights necessary for its use.</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Yes. The Property has the benefit of rights of way and service media over the estate roadway as noted in the Property Register.</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6.1</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Are there any guarantees, warranties or insurance-backed guarantees affecting the Property?</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 10-year roof-covering guarantee dated 12 June 2021 (Forbury Roofing Limited) is included in the data room. No collateral warranties are held in respect of the original construction.</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7.1</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Please give details of the occupiers and the terms of their occupation.</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Property is let to four tenants as set out in the Tenancy Schedule annexed to the draft contract. Copies of the leases are in the data room.</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8.1</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Are there any rent deposits or guarantees in respect of the lettings?</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 rent deposit of £45,000 is held in respect of Unit 2 (Aldgate Print Services Limited) under a rent deposit deed dated 14 March 2023. The deposit and the benefit of the deed will be assigned to the Buyer on completion.</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9.1</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Please confirm the position on outstanding rent reviews.</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rent review of the ground-floor letting (Meridian Software Solutions Limited) due on 25 March 2026 is outstanding and has not yet been agreed or determined.</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10.1</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Please provide details of the service charge for the current and previous two years.</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Service-charge accounts for the years ended 31 December 2023, 2024 and 2025 are in the data room. The current year's budget is £148,200. There is no service-charge sinking fund.</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11.1</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Please confirm the EPC rating of the Property.</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Each let unit holds an EPC with a rating between B and C; copies are in the data room. The Property complies with the minimum energy efficiency standards.</w:t>
            </w:r>
          </w:p>
        </w:tc>
      </w:tr>
      <w:tr>
        <w:tc>
          <w:tcPr>
            <w:tcW w:type="dxa" w:w="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12.1</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Have any environmental investigations been carried out?</w:t>
            </w:r>
          </w:p>
        </w:tc>
        <w:tc>
          <w:tcPr>
            <w:tcW w:type="dxa" w:w="43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 Phase 1 environmental desktop report dated 2018 is available. The Seller is not aware of any contamination affecting the Property.</w:t>
            </w:r>
          </w:p>
        </w:tc>
      </w:tr>
    </w:tbl>
    <w:p>
      <w:pPr>
        <w:spacing w:before="200"/>
      </w:pPr>
      <w:r>
        <w:t xml:space="preserve">Marlowe Greaves LLP</w:t>
      </w:r>
    </w:p>
    <w:p>
      <w:pPr>
        <w:spacing w:after="120"/>
      </w:pPr>
      <w:r>
        <w:t xml:space="preserve">Solicitors for the Seller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sz w:val="16"/>
        <w:szCs w:val="16"/>
      </w:rPr>
      <w:t xml:space="preserve">CPSE.1 Replies - Quartz House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2026-06-28T15:23:20.690Z</dcterms:created>
  <dcterms:modified xsi:type="dcterms:W3CDTF">2026-06-28T15:23:20.691Z</dcterms:modified>
</cp:coreProperties>
</file>

<file path=docProps/custom.xml><?xml version="1.0" encoding="utf-8"?>
<Properties xmlns="http://schemas.openxmlformats.org/officeDocument/2006/custom-properties" xmlns:vt="http://schemas.openxmlformats.org/officeDocument/2006/docPropsVTypes"/>
</file>