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30"/>
          <w:szCs w:val="30"/>
        </w:rPr>
        <w:t xml:space="preserve">Whitfield Carter LLP</w:t>
      </w:r>
    </w:p>
    <w:p>
      <w:pPr>
        <w:spacing w:after="20"/>
      </w:pPr>
      <w:r>
        <w:rPr>
          <w:i/>
          <w:iCs/>
          <w:sz w:val="18"/>
          <w:szCs w:val="18"/>
        </w:rPr>
        <w:t xml:space="preserve">Solicitors</w:t>
      </w:r>
    </w:p>
    <w:p>
      <w:pPr>
        <w:pBdr>
          <w:bottom w:val="single" w:color="2E4C7E" w:sz="6" w:space="4"/>
        </w:pBdr>
        <w:spacing w:after="240"/>
      </w:pPr>
      <w:r>
        <w:rPr>
          <w:sz w:val="16"/>
          <w:szCs w:val="16"/>
        </w:rPr>
        <w:t xml:space="preserve">22 Bishopsgate, London EC2N 4BQ  |  DX 178 London City  |  +44 (0)20 7946 0822  |  www.whitfieldcarter.com</w:t>
      </w:r>
    </w:p>
    <w:p>
      <w:pPr>
        <w:pStyle w:val="Heading1"/>
        <w:jc w:val="center"/>
      </w:pPr>
      <w:r>
        <w:t xml:space="preserve">COMPLETION CHECKLIST</w:t>
      </w:r>
    </w:p>
    <w:p>
      <w:pPr>
        <w:spacing w:after="60"/>
        <w:jc w:val="center"/>
      </w:pPr>
      <w:r>
        <w:t xml:space="preserve">Project Quartz - Acquisition of Quartz House, 14-18 Forbury Road, Reading RG1 3JH</w:t>
      </w:r>
    </w:p>
    <w:p>
      <w:pPr>
        <w:spacing w:after="200"/>
        <w:jc w:val="center"/>
      </w:pPr>
      <w:r>
        <w:rPr>
          <w:sz w:val="18"/>
          <w:szCs w:val="18"/>
        </w:rPr>
        <w:t xml:space="preserve">Target completion: 15 May 2026  |  Prepared 27 April 2026 (J Osei)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80"/>
        <w:gridCol w:w="168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Engagement letter signed and returned; AML / source of funds cleared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 / Client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Heads of terms agreed (subject to contract)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 / Marlowe Greaves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 BK482913 investigated; official copies and plan obtained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Pre-contract searches received and reviewed (local, drainage, environmental, chancel)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CPSE.1 and property enquiries raised and satisfactory replies received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 / Marlowe Greaves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Leases and rent deposit deed reviewed; tenancy schedule verified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 on title approved by client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Contract approved and engrossed; parts signed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 / Marlowe Greaves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Buyer's VAT registration and option to tax notified to HMRC and to Seller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/ WC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Deposit of £845,000 transferred on exchange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/ WC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Buildings insurance arranged from exchange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Draft TR1 and deed of assignment of rent deposit agreed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 / Marlowe Greaves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Completion statement agreed (apportionments + rent deposit)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 / Marlowe Greaves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Pre-completion searches (OS1, bankruptcy / company search) carried out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Completion monies remitted; keys / management information released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SDLT return filed and £412,000 paid within 14 days of completion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to register transfer at HM Land Registry (AP1)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Notice of assignment of reversion served on tenants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sz w:val="16"/>
        <w:szCs w:val="16"/>
      </w:rPr>
      <w:t xml:space="preserve">Completion checklist - Quartz House	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108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2026-06-28T15:23:20.720Z</dcterms:created>
  <dcterms:modified xsi:type="dcterms:W3CDTF">2026-06-28T15:23:20.720Z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