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0"/>
          <w:szCs w:val="30"/>
        </w:rPr>
        <w:t xml:space="preserve">Whitfield Carter LLP</w:t>
      </w:r>
    </w:p>
    <w:p>
      <w:pPr>
        <w:spacing w:after="20"/>
      </w:pPr>
      <w:r>
        <w:rPr>
          <w:i/>
          <w:iCs/>
          <w:sz w:val="18"/>
          <w:szCs w:val="18"/>
        </w:rPr>
        <w:t xml:space="preserve">Solicitors</w:t>
      </w:r>
    </w:p>
    <w:p>
      <w:pPr>
        <w:pBdr>
          <w:bottom w:val="single" w:color="2E4C7E" w:sz="6" w:space="4"/>
        </w:pBdr>
        <w:spacing w:after="240"/>
      </w:pPr>
      <w:r>
        <w:rPr>
          <w:sz w:val="16"/>
          <w:szCs w:val="16"/>
        </w:rPr>
        <w:t xml:space="preserve">22 Bishopsgate, London EC2N 4BQ  |  DX 178 London City  |  +44 (0)20 7946 0822  |  www.whitfieldcarter.com</w:t>
      </w:r>
    </w:p>
    <w:p>
      <w:pPr>
        <w:spacing w:after="200"/>
      </w:pPr>
      <w:r>
        <w:rPr>
          <w:b/>
          <w:bCs/>
          <w:sz w:val="18"/>
          <w:szCs w:val="18"/>
        </w:rPr>
        <w:t xml:space="preserve">STRICTLY PRIVATE &amp; CONFIDENTIAL</w:t>
      </w:r>
    </w:p>
    <w:p>
      <w:pPr>
        <w:spacing w:after="120"/>
      </w:pPr>
      <w:r>
        <w:t xml:space="preserve">Ms Isla Fournier</w:t>
      </w:r>
    </w:p>
    <w:p>
      <w:pPr>
        <w:spacing w:after="120"/>
      </w:pPr>
      <w:r>
        <w:t xml:space="preserve">Head of Acquisitions</w:t>
      </w:r>
    </w:p>
    <w:p>
      <w:pPr>
        <w:spacing w:after="120"/>
      </w:pPr>
      <w:r>
        <w:t xml:space="preserve">Thornbury Properties Limited</w:t>
      </w:r>
    </w:p>
    <w:p>
      <w:pPr>
        <w:spacing w:after="120"/>
      </w:pPr>
      <w:r>
        <w:t xml:space="preserve">Thornbury House, 8 Devonshire Square, London EC2M 4PL</w:t>
      </w:r>
    </w:p>
    <w:p>
      <w:pPr>
        <w:tabs>
          <w:tab w:val="right" w:pos="9026"/>
        </w:tabs>
        <w:spacing w:after="200" w:before="120"/>
      </w:pPr>
      <w:r>
        <w:t xml:space="preserve">5 February 2026</w:t>
      </w:r>
    </w:p>
    <w:p>
      <w:pPr>
        <w:spacing w:after="120"/>
      </w:pPr>
      <w:r>
        <w:t xml:space="preserve">Dear Isla</w:t>
      </w:r>
    </w:p>
    <w:p>
      <w:pPr>
        <w:spacing w:after="120"/>
      </w:pPr>
      <w:r>
        <w:rPr>
          <w:b/>
          <w:bCs/>
        </w:rPr>
        <w:t xml:space="preserve">Project Quartz - Proposed acquisition of Quartz House, 14-18 Forbury Road, Reading RG1 3JH</w:t>
      </w:r>
    </w:p>
    <w:p>
      <w:pPr>
        <w:spacing w:after="120"/>
      </w:pPr>
      <w:r>
        <w:t xml:space="preserve">Thank you for instructing Whitfield Carter LLP in connection with the proposed acquisition by Thornbury Properties Limited (the “Company”) of the freehold interest in Quartz House, 14-18 Forbury Road, Reading RG1 3JH (the “Property”) from Calderdale Asset Holdings Limited (the “Seller”) (the “Transaction”). This letter, together with our enclosed standard terms of business, sets out the terms on which we will act for you.</w:t>
      </w:r>
    </w:p>
    <w:p>
      <w:pPr>
        <w:pStyle w:val="Heading2"/>
      </w:pPr>
      <w:r>
        <w:t xml:space="preserve">1. Scope of our engagement</w:t>
      </w:r>
    </w:p>
    <w:p>
      <w:pPr>
        <w:spacing w:after="120"/>
      </w:pPr>
      <w:r>
        <w:t xml:space="preserve">We will advise on and conduct the legal aspects of the Transaction, including: reviewing title and the data room; raising and reviewing pre-contract enquiries (CPSE.1 and property-specific enquiries); reporting to you on title and the tenancies; negotiating and settling the contract for sale and transfer; advising on the existing occupational leases and the rent deposit arrangements; dealing with exchange, completion and post-completion registration at HM Land Registry; and submitting the Stamp Duty Land Tax (“SDLT”) return.</w:t>
      </w:r>
    </w:p>
    <w:p>
      <w:pPr>
        <w:spacing w:after="120"/>
      </w:pPr>
      <w:r>
        <w:t xml:space="preserve">Our engagement does not extend to tax structuring advice (other than SDLT compliance), building survey, environmental survey, valuation, or the commercial terms of the Transaction, on which you should take separate professional advice.</w:t>
      </w:r>
    </w:p>
    <w:p>
      <w:pPr>
        <w:pStyle w:val="Heading2"/>
      </w:pPr>
      <w:r>
        <w:t xml:space="preserve">2. People responsible for your work</w:t>
      </w:r>
    </w:p>
    <w:p>
      <w:pPr>
        <w:spacing w:after="120"/>
      </w:pPr>
      <w:r>
        <w:t xml:space="preserve">The partner with overall responsibility for this matter is Sarah Whitfield. The day-to-day conduct of the matter will be handled by James Osei (Senior Associate), assisted by Elena Marchetti (Associate). Our file reference is WC-00166.</w:t>
      </w:r>
    </w:p>
    <w:p>
      <w:pPr>
        <w:pStyle w:val="Heading2"/>
      </w:pPr>
      <w:r>
        <w:t xml:space="preserve">3. Fees and disbursements</w:t>
      </w:r>
    </w:p>
    <w:p>
      <w:pPr>
        <w:spacing w:after="120"/>
      </w:pPr>
      <w:r>
        <w:t xml:space="preserve">Our fees are charged by reference to time spent. For a transaction of this nature we estimate our fees will be in the region of £34,000 to £42,000 plus VAT, assuming the Transaction proceeds without unforeseen complications. The current hourly rates of those acting are: Sarah Whitfield £650; James Osei £460; Elena Marchetti £320, in each case plus VAT.</w:t>
      </w:r>
    </w:p>
    <w:p>
      <w:pPr>
        <w:spacing w:after="120"/>
      </w:pPr>
      <w:r>
        <w:t xml:space="preserve">Disbursements will include HM Land Registry search and registration fees, the SDLT payable (estimated at £412,000 on a price of £8,450,000), pre-completion searches, and bank transfer fees. We will not incur any single disbursement over £500 without your authority.</w:t>
      </w:r>
    </w:p>
    <w:p>
      <w:pPr>
        <w:pStyle w:val="Heading2"/>
      </w:pPr>
      <w:r>
        <w:t xml:space="preserve">4. Client money and source of funds</w:t>
      </w:r>
    </w:p>
    <w:p>
      <w:pPr>
        <w:spacing w:after="120"/>
      </w:pPr>
      <w:r>
        <w:t xml:space="preserve">Completion monies must reach our client account in cleared funds no later than 11.00 a.m. on the completion date. In accordance with our anti-money-laundering obligations we will require evidence of the source of the purchase funds before exchange. We have completed our client due diligence on the Company.</w:t>
      </w:r>
    </w:p>
    <w:p>
      <w:pPr>
        <w:pStyle w:val="Heading2"/>
      </w:pPr>
      <w:r>
        <w:t xml:space="preserve">5. Anticipated timetable</w:t>
      </w:r>
    </w:p>
    <w:p>
      <w:pPr>
        <w:spacing w:after="120"/>
      </w:pPr>
      <w:r>
        <w:t xml:space="preserve">Subject to satisfactory replies to enquiries and approval of the report on title, we are working towards exchange of contracts in the week commencing 13 April 2026 with completion approximately three weeks thereafter.</w:t>
      </w:r>
    </w:p>
    <w:p>
      <w:pPr>
        <w:spacing w:after="120"/>
      </w:pPr>
      <w:r>
        <w:t xml:space="preserve">Please confirm your acceptance of these terms by signing and returning the enclosed copy of this letter. We look forward to working with you on this matter.</w:t>
      </w:r>
    </w:p>
    <w:p>
      <w:pPr>
        <w:spacing w:after="240" w:before="240"/>
      </w:pPr>
      <w:r>
        <w:t xml:space="preserve">Yours sincerely</w:t>
      </w:r>
    </w:p>
    <w:p>
      <w:pPr>
        <w:spacing w:after="120"/>
      </w:pPr>
      <w:r>
        <w:t xml:space="preserve">Sarah Whitfield</w:t>
      </w:r>
    </w:p>
    <w:p>
      <w:pPr>
        <w:spacing w:after="120"/>
      </w:pPr>
      <w:r>
        <w:t xml:space="preserve">Partner</w:t>
      </w:r>
    </w:p>
    <w:p>
      <w:pPr>
        <w:spacing w:after="120"/>
      </w:pPr>
      <w:r>
        <w:t xml:space="preserve">For and on behalf of Whitfield Carter LLP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Whitfield Carter LLP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2026-06-28T15:23:20.488Z</dcterms:created>
  <dcterms:modified xsi:type="dcterms:W3CDTF">2026-06-28T15:23:20.488Z</dcterms:modified>
</cp:coreProperties>
</file>

<file path=docProps/custom.xml><?xml version="1.0" encoding="utf-8"?>
<Properties xmlns="http://schemas.openxmlformats.org/officeDocument/2006/custom-properties" xmlns:vt="http://schemas.openxmlformats.org/officeDocument/2006/docPropsVTypes"/>
</file>