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30"/>
          <w:szCs w:val="30"/>
        </w:rPr>
        <w:t xml:space="preserve">Whitfield Carter LLP</w:t>
      </w:r>
    </w:p>
    <w:p>
      <w:pPr>
        <w:spacing w:after="20"/>
      </w:pPr>
      <w:r>
        <w:rPr>
          <w:i/>
          <w:iCs/>
          <w:sz w:val="18"/>
          <w:szCs w:val="18"/>
        </w:rPr>
        <w:t xml:space="preserve">Solicitors</w:t>
      </w:r>
    </w:p>
    <w:p>
      <w:pPr>
        <w:pBdr>
          <w:bottom w:val="single" w:color="2E4C7E" w:sz="6" w:space="4"/>
        </w:pBdr>
        <w:spacing w:after="240"/>
      </w:pPr>
      <w:r>
        <w:rPr>
          <w:sz w:val="16"/>
          <w:szCs w:val="16"/>
        </w:rPr>
        <w:t xml:space="preserve">22 Bishopsgate, London EC2N 4BQ  |  DX 178 London City  |  +44 (0)20 7946 0822  |  www.whitfieldcarter.com</w:t>
      </w:r>
    </w:p>
    <w:p>
      <w:pPr>
        <w:pStyle w:val="Heading1"/>
        <w:jc w:val="center"/>
      </w:pPr>
      <w:r>
        <w:t xml:space="preserve">HEADS OF TERMS</w:t>
      </w:r>
    </w:p>
    <w:p>
      <w:pPr>
        <w:spacing w:after="60"/>
        <w:jc w:val="center"/>
      </w:pPr>
      <w:r>
        <w:rPr>
          <w:b/>
          <w:bCs/>
        </w:rPr>
        <w:t xml:space="preserve">Project Quartz - Acquisition of Quartz House, 14-18 Forbury Road, Reading RG1 3JH</w:t>
      </w:r>
    </w:p>
    <w:p>
      <w:pPr>
        <w:spacing w:after="200"/>
        <w:jc w:val="center"/>
      </w:pPr>
      <w:r>
        <w:rPr>
          <w:b/>
          <w:bCs/>
          <w:color w:val="B00000"/>
        </w:rPr>
        <w:t xml:space="preserve">SUBJECT TO CONTRACT</w:t>
      </w:r>
    </w:p>
    <w:p>
      <w:pPr>
        <w:spacing w:after="120"/>
      </w:pPr>
      <w:r>
        <w:t xml:space="preserve">Dated 12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Property</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Quartz House, 14-18 Forbury Road, Reading RG1 3JH (freehold, registered under title number BK482913)</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Seller</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Calderdale Asset Holdings Limited (company no. 08773210) of 5 Park Row, Leeds LS1 5HD</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Buyer</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Thornbury Properties Limited (company no. 06214477) of Thornbury House, 8 Devonshire Square, London EC2M 4PL</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Interest sold</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Freehold, subject to and with the benefit of the existing occupational leases (the “Tenancies”)</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Purchase price</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£8,450,000 (exclusive of VAT). The sale is a transfer of a going concern (TOGC); the Seller has opted to tax and the Buyer will opt to tax and notify HMRC before completion</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Deposit</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 (£845,000) payable on exchange, held by the Seller's solicitors as stakeholder</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Tenancies</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Multi-let office building, four tenants, total passing rent £612,400 per annum exclusive; WAULT 4.9 years to expiry (3.6 years to break)</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Net initial yield</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Approximately 6.85% after standard purchaser's costs</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Rent deposits</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Existing rent deposit of £45,000 held in respect of Unit 2 (Aldgate Print Services Limited) to be assigned to the Buyer on completion</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Conditions</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Sale conditional only on the parties exchanging; no planning or funding conditions</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Exchange / completion</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Target exchange w/c 13 April 2026; completion 8 May 2026</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Buyer's solicitors</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Whitfield Carter LLP, 22 Bishopsgate, London EC2N 4BQ (ref: J Osei / WC-00166)</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Seller's solicitors</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Marlowe Greaves LLP, 4 Whitehall Quay, Leeds LS1 4HG (ref: M Greaves)</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Costs</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Each party to bear its own legal costs</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Subject to contract</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These heads of terms are subject to contract and not legally binding, save for the provisions on exclusivity and confidentiality</w:t>
            </w:r>
          </w:p>
        </w:tc>
      </w:tr>
    </w:tbl>
    <w:p>
      <w:pPr>
        <w:spacing w:after="80" w:before="200"/>
      </w:pPr>
      <w:r>
        <w:rPr>
          <w:b/>
          <w:bCs/>
        </w:rPr>
        <w:t xml:space="preserve">Exclusivity</w:t>
      </w:r>
    </w:p>
    <w:p>
      <w:pPr>
        <w:spacing w:after="120"/>
      </w:pPr>
      <w:r>
        <w:t xml:space="preserve">The Seller agrees that for a period of six weeks from the date of these heads of terms it will not negotiate with, or accept any offer from, any third party in respect of the Property. This exclusivity provision and the confidentiality provision below are intended to be legally binding.</w:t>
      </w:r>
    </w:p>
    <w:p>
      <w:pPr>
        <w:spacing w:after="80" w:before="120"/>
      </w:pPr>
      <w:r>
        <w:rPr>
          <w:b/>
          <w:bCs/>
        </w:rPr>
        <w:t xml:space="preserve">Confidentiality</w:t>
      </w:r>
    </w:p>
    <w:p>
      <w:pPr>
        <w:spacing w:after="120"/>
      </w:pPr>
      <w:r>
        <w:t xml:space="preserve">Each party will keep the existence and terms of the proposed Transaction confidential and will not disclose them save to its professional advisers and as required by law.</w:t>
      </w:r>
    </w:p>
    <w:p>
      <w:pPr>
        <w:spacing w:after="160" w:before="240"/>
      </w:pPr>
      <w:r>
        <w:t xml:space="preserve">Agreed on behalf of the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For Thornbury Properties Limited
Name: Isla Fournier
Title: Head of Acquisitions</w:t>
            </w:r>
          </w:p>
        </w:tc>
        <w:tc>
          <w:tcPr>
            <w:tcW w:type="dxa" w:w="46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For Calderdale Asset Holdings Limited
Name: Marcus Calderwell
Title: Director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Whitfield Carter LLP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44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2026-06-28T15:23:20.507Z</dcterms:created>
  <dcterms:modified xsi:type="dcterms:W3CDTF">2026-06-28T15:23:20.507Z</dcterms:modified>
</cp:coreProperties>
</file>

<file path=docProps/custom.xml><?xml version="1.0" encoding="utf-8"?>
<Properties xmlns="http://schemas.openxmlformats.org/officeDocument/2006/custom-properties" xmlns:vt="http://schemas.openxmlformats.org/officeDocument/2006/docPropsVTypes"/>
</file>