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sz w:val="30"/>
          <w:szCs w:val="30"/>
        </w:rPr>
        <w:t xml:space="preserve">Whitfield Carter LLP</w:t>
      </w:r>
    </w:p>
    <w:p>
      <w:pPr>
        <w:spacing w:after="20"/>
      </w:pPr>
      <w:r>
        <w:rPr>
          <w:i/>
          <w:iCs/>
          <w:sz w:val="18"/>
          <w:szCs w:val="18"/>
        </w:rPr>
        <w:t xml:space="preserve">Solicitors</w:t>
      </w:r>
    </w:p>
    <w:p>
      <w:pPr>
        <w:pBdr>
          <w:bottom w:val="single" w:color="2E4C7E" w:sz="6" w:space="4"/>
        </w:pBdr>
        <w:spacing w:after="240"/>
      </w:pPr>
      <w:r>
        <w:rPr>
          <w:sz w:val="16"/>
          <w:szCs w:val="16"/>
        </w:rPr>
        <w:t xml:space="preserve">22 Bishopsgate, London EC2N 4BQ  |  DX 178 London City  |  +44 (0)20 7946 0822  |  www.whitfieldcarter.com</w:t>
      </w:r>
    </w:p>
    <w:p>
      <w:pPr>
        <w:spacing w:after="160"/>
      </w:pPr>
      <w:r>
        <w:rPr>
          <w:b/>
          <w:bCs/>
          <w:sz w:val="18"/>
          <w:szCs w:val="18"/>
        </w:rPr>
        <w:t xml:space="preserve">PRIVATE &amp; CONFIDENTIAL - SUBJECT TO CONTRACT</w:t>
      </w:r>
    </w:p>
    <w:p>
      <w:pPr>
        <w:pStyle w:val="Heading1"/>
      </w:pPr>
      <w:r>
        <w:t xml:space="preserve">Report on Title (DRAFT)</w:t>
      </w:r>
    </w:p>
    <w:p>
      <w:pPr>
        <w:spacing w:after="60"/>
      </w:pPr>
      <w:r>
        <w:rPr>
          <w:b/>
          <w:bCs/>
        </w:rPr>
        <w:t xml:space="preserve">Re: Acquisition of Quartz House, 14-18 Forbury Road, Reading RG1 3JH</w:t>
      </w:r>
    </w:p>
    <w:p>
      <w:pPr>
        <w:spacing w:after="200"/>
      </w:pPr>
      <w:r>
        <w:t xml:space="preserve">To: The Board of Thornbury Properties Limited  |  From: James Osei  |  Date: 24 March 2026  |  Ref: WC-00166</w:t>
      </w:r>
    </w:p>
    <w:p>
      <w:pPr>
        <w:pStyle w:val="Heading2"/>
      </w:pPr>
      <w:r>
        <w:t xml:space="preserve">1. Executive summary</w:t>
      </w:r>
    </w:p>
    <w:p>
      <w:pPr>
        <w:spacing w:after="120"/>
      </w:pPr>
      <w:r>
        <w:t xml:space="preserve">This report summarises the results of our investigation of title and pre-contract enquiries in connection with the proposed acquisition of the freehold interest in the Property for £8,450,000 plus, where applicable, VAT (the sale being intended to proceed as a TOGC). Subject to the matters flagged in section 7, title is good and marketable and we recommend that the Company proceeds, provided the outstanding ground-floor rent review and the Unit 1 service-charge query (paragraphs 7.1 and 7.2) are addressed to the Board's satisfaction.</w:t>
      </w:r>
    </w:p>
    <w:p>
      <w:pPr>
        <w:pStyle w:val="Heading2"/>
      </w:pPr>
      <w:r>
        <w:t xml:space="preserve">2. The Property and title</w:t>
      </w:r>
    </w:p>
    <w:p>
      <w:pPr>
        <w:spacing w:after="120"/>
      </w:pPr>
      <w:r>
        <w:t xml:space="preserve">The Property comprises a four-storey multi-let office building of approximately 31,200 sq ft net internal area, with 28 car-parking spaces, on a site of about 0.55 acres. The freehold is registered at HM Land Registry under title number BK482913 with title absolute. The registered proprietor is Calderdale Asset Holdings Limited. The title plan accords with the site we have inspected on plan.</w:t>
      </w:r>
    </w:p>
    <w:p>
      <w:pPr>
        <w:pStyle w:val="Heading2"/>
      </w:pPr>
      <w:r>
        <w:t xml:space="preserve">3. Encumbrances and matters on the register</w:t>
      </w:r>
    </w:p>
    <w:p>
      <w:pPr>
        <w:spacing w:after="120"/>
      </w:pPr>
      <w:r>
        <w:t xml:space="preserve">The Charges Register notes (a) rights of way and service-media rights over the estate roadway in favour of the Property; (b) a 1998 deed of easement granting drainage rights to the adjoining owner; and (c) a legal charge dated 2019 in favour of Pennine Business Bank plc, which the Seller has confirmed will be discharged on or before completion (an undertaking to discharge will be required from Marlowe Greaves LLP).</w:t>
      </w:r>
    </w:p>
    <w:p>
      <w:pPr>
        <w:pStyle w:val="Heading2"/>
      </w:pPr>
      <w:r>
        <w:t xml:space="preserve">4. The tenancies</w:t>
      </w:r>
    </w:p>
    <w:p>
      <w:pPr>
        <w:spacing w:after="120"/>
      </w:pPr>
      <w:r>
        <w:t xml:space="preserve">The Property is let to four tenants producing a total passing rent of £612,400 per annum exclusive, with a weighted average unexpired term of approximately 4.9 years to expiry (3.6 years to the earliest break). The ground-floor letting to Meridian Software Solutions Limited (£248,000 p.a.) is the largest single income stream. We have reviewed each lease and the apportionment of service charge; the leases are on institutionally acceptable terms with upward-only rent reviews, save for the Unit 3 lease which is contracted out of the security-of-tenure provisions of the Landlord and Tenant Act 1954.</w:t>
      </w:r>
    </w:p>
    <w:p>
      <w:pPr>
        <w:pStyle w:val="Heading2"/>
      </w:pPr>
      <w:r>
        <w:t xml:space="preserve">5. Searches</w:t>
      </w:r>
    </w:p>
    <w:p>
      <w:pPr>
        <w:spacing w:after="120"/>
      </w:pPr>
      <w:r>
        <w:t xml:space="preserve">The local authority, drainage and water, environmental and chancel searches reveal nothing that materially adversely affects the Property. The environmental search returned a “passed” result. There are no road-widening or compulsory-purchase proposals affecting the Property.</w:t>
      </w:r>
    </w:p>
    <w:p>
      <w:pPr>
        <w:pStyle w:val="Heading2"/>
      </w:pPr>
      <w:r>
        <w:t xml:space="preserve">6. VAT</w:t>
      </w:r>
    </w:p>
    <w:p>
      <w:pPr>
        <w:spacing w:after="120"/>
      </w:pPr>
      <w:r>
        <w:t xml:space="preserve">The Seller has opted to tax the Property. The sale is intended to be a TOGC, so that no VAT is chargeable on the price, conditional on the Company being VAT-registered and having opted to tax and notified HMRC before completion. If those conditions are not met, VAT of £1,690,000 would be payable. The Board should ensure the option to tax is made and notified in good time.</w:t>
      </w:r>
    </w:p>
    <w:p>
      <w:pPr>
        <w:pStyle w:val="Heading2"/>
      </w:pPr>
      <w:r>
        <w:t xml:space="preserve">7. Matters for the Board's attention</w:t>
      </w:r>
    </w:p>
    <w:p>
      <w:pPr>
        <w:spacing w:after="120"/>
      </w:pPr>
      <w:r>
        <w:t xml:space="preserve">7.1 Outstanding rent review: the ground-floor rent review due 25 March 2026 has not been agreed. The contract provides that the Seller may not agree the review without the Company's consent. We recommend the Company takes the conduct of the review after completion to capture any uplift.</w:t>
      </w:r>
    </w:p>
    <w:p>
      <w:pPr>
        <w:spacing w:after="120"/>
      </w:pPr>
      <w:r>
        <w:t xml:space="preserve">7.2 Service-charge query (Unit 1): Carrington Wealth LLP has queried the 2024 service-charge reconciliation. The sum in dispute is modest (c. £6,800) but we recommend a retention or seller indemnity if it is not resolved before completion.</w:t>
      </w:r>
    </w:p>
    <w:p>
      <w:pPr>
        <w:spacing w:after="120"/>
      </w:pPr>
      <w:r>
        <w:t xml:space="preserve">7.3 Charge discharge: completion is conditional on receipt of a solicitor's undertaking to discharge the Pennine Business Bank charge and the subsequent DS1.</w:t>
      </w:r>
    </w:p>
    <w:p>
      <w:pPr>
        <w:spacing w:after="120"/>
      </w:pPr>
      <w:r>
        <w:t xml:space="preserve">7.4 Rent deposit: the £45,000 rent deposit for Unit 2 will be assigned to the Company by separate deed and credited on the completion statement.</w:t>
      </w:r>
    </w:p>
    <w:p>
      <w:pPr>
        <w:pStyle w:val="Heading2"/>
      </w:pPr>
      <w:r>
        <w:t xml:space="preserve">8. Recommendation</w:t>
      </w:r>
    </w:p>
    <w:p>
      <w:pPr>
        <w:spacing w:after="120"/>
      </w:pPr>
      <w:r>
        <w:t xml:space="preserve">Subject to the points in section 7 and to satisfactory completion of the outstanding items on the completion checklist, we recommend that the Company proceeds to exchange and completion.</w:t>
      </w:r>
    </w:p>
    <w:p>
      <w:pPr>
        <w:spacing w:before="240"/>
      </w:pPr>
      <w:r>
        <w:t xml:space="preserve">James Osei  |  Senior Associate  |  For and on behalf of Whitfield Carter LLP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sz w:val="16"/>
        <w:szCs w:val="16"/>
      </w:rPr>
      <w:t xml:space="preserve">Report on Title (DRAFT) - Quartz House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2026-06-28T15:23:20.738Z</dcterms:created>
  <dcterms:modified xsi:type="dcterms:W3CDTF">2026-06-28T15:23:20.738Z</dcterms:modified>
</cp:coreProperties>
</file>

<file path=docProps/custom.xml><?xml version="1.0" encoding="utf-8"?>
<Properties xmlns="http://schemas.openxmlformats.org/officeDocument/2006/custom-properties" xmlns:vt="http://schemas.openxmlformats.org/officeDocument/2006/docPropsVTypes"/>
</file>