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2"/>
        <w:jc w:val="center"/>
      </w:pPr>
      <w:r>
        <w:rPr>
          <w:b/>
          <w:bCs/>
          <w:sz w:val="28"/>
          <w:szCs w:val="28"/>
        </w:rPr>
        <w:t xml:space="preserve">COMMERCIAL PROPERTY STANDARD ENQUIRIES</w:t>
      </w:r>
    </w:p>
    <w:p>
      <w:pPr>
        <w:spacing w:after="120" w:before="0" w:line="272"/>
        <w:jc w:val="center"/>
      </w:pPr>
      <w:r>
        <w:rPr>
          <w:b/>
          <w:bCs/>
        </w:rPr>
        <w:t xml:space="preserve">CPSE.1 (version 3.8) — General pre-contract enquiries for all commercial property transactions</w:t>
      </w:r>
    </w:p>
    <w:p>
      <w:pPr>
        <w:spacing w:after="120" w:before="0" w:line="272"/>
      </w:pPr>
      <w:r>
        <w:rPr>
          <w:i/>
          <w:iCs/>
          <w:sz w:val="18"/>
          <w:szCs w:val="18"/>
        </w:rPr>
        <w:t xml:space="preserve">These replies are given by Marlowe Greaves LLP on behalf of Belvedere Estates Limited (the Seller) in respect of Kingsgate House, 14–18 Farringdon Road, London EC1M 3HE (title number NGL482190), to Whitfield Carter LLP acting for Thornbury Properties Limited (the Buyer). The replies are given without liability on the part of the Seller's solicitors and are believed to be correct, but the Buyer should rely on its own searches, surveys and inspection. Dated 18 March 2026.</w:t>
      </w:r>
    </w:p>
    <w:p>
      <w:pPr>
        <w:spacing w:after="80" w:before="200"/>
      </w:pPr>
      <w:r>
        <w:rPr>
          <w:b/>
          <w:bCs/>
          <w:color w:val="1F3864"/>
        </w:rPr>
        <w:t xml:space="preserve">1.  Boundaries and extent</w:t>
      </w:r>
    </w:p>
    <w:p>
      <w:pPr>
        <w:tabs>
          <w:tab w:val="left" w:pos="900"/>
        </w:tabs>
        <w:spacing w:after="40" w:line="268"/>
        <w:ind w:left="900" w:hanging="900"/>
      </w:pPr>
      <w:r>
        <w:t xml:space="preserve">1.1	</w:t>
      </w:r>
      <w:r>
        <w:t xml:space="preserve">Please confirm by reference to a plan the boundaries of the Property and state who owns and is responsible for the boundary structures.</w:t>
      </w:r>
    </w:p>
    <w:p>
      <w:pPr>
        <w:spacing w:after="120" w:line="268"/>
        <w:ind w:left="900"/>
      </w:pPr>
      <w:r>
        <w:rPr>
          <w:b/>
          <w:bCs/>
        </w:rPr>
        <w:t xml:space="preserve">Reply:  </w:t>
      </w:r>
      <w:r>
        <w:t xml:space="preserve">The boundaries of the Property are as shown edged red on the Land Registry title plan for title number NGL482190. The Property is a self-contained building occupying its full footprint; there are no garden or open boundary structures other than the party walls with the adjoining buildings at 12 and 20 Farringdon Road. Responsibility for the party walls is shared in the usual way under the Party Wall etc. Act 1996.</w:t>
      </w:r>
    </w:p>
    <w:p>
      <w:pPr>
        <w:tabs>
          <w:tab w:val="left" w:pos="900"/>
        </w:tabs>
        <w:spacing w:after="40" w:line="268"/>
        <w:ind w:left="900" w:hanging="900"/>
      </w:pPr>
      <w:r>
        <w:t xml:space="preserve">1.2	</w:t>
      </w:r>
      <w:r>
        <w:t xml:space="preserve">Has any boundary feature been moved in the last 10 years, or any adjoining land been acquired or disposed of?</w:t>
      </w:r>
    </w:p>
    <w:p>
      <w:pPr>
        <w:spacing w:after="120" w:line="268"/>
        <w:ind w:left="900"/>
      </w:pPr>
      <w:r>
        <w:rPr>
          <w:b/>
          <w:bCs/>
        </w:rPr>
        <w:t xml:space="preserve">Reply:  </w:t>
      </w:r>
      <w:r>
        <w:t xml:space="preserve">No, so far as the Seller is aware.</w:t>
      </w:r>
    </w:p>
    <w:p>
      <w:pPr>
        <w:spacing w:after="80" w:before="200"/>
      </w:pPr>
      <w:r>
        <w:rPr>
          <w:b/>
          <w:bCs/>
          <w:color w:val="1F3864"/>
        </w:rPr>
        <w:t xml:space="preserve">2.  Party walls</w:t>
      </w:r>
    </w:p>
    <w:p>
      <w:pPr>
        <w:tabs>
          <w:tab w:val="left" w:pos="900"/>
        </w:tabs>
        <w:spacing w:after="40" w:line="268"/>
        <w:ind w:left="900" w:hanging="900"/>
      </w:pPr>
      <w:r>
        <w:t xml:space="preserve">2.1	</w:t>
      </w:r>
      <w:r>
        <w:t xml:space="preserve">Does any wall form part of a party wall, and have any notices been served under the Party Wall etc. Act 1996?</w:t>
      </w:r>
    </w:p>
    <w:p>
      <w:pPr>
        <w:spacing w:after="120" w:line="268"/>
        <w:ind w:left="900"/>
      </w:pPr>
      <w:r>
        <w:rPr>
          <w:b/>
          <w:bCs/>
        </w:rPr>
        <w:t xml:space="preserve">Reply:  </w:t>
      </w:r>
      <w:r>
        <w:t xml:space="preserve">The flank walls with 12 and 20 Farringdon Road are party walls. The Seller is not aware of any outstanding party wall notices or awards, save the historic position recorded in the deed of easement dated 4 June 1998 (rights of support).</w:t>
      </w:r>
    </w:p>
    <w:p>
      <w:pPr>
        <w:spacing w:after="80" w:before="200"/>
      </w:pPr>
      <w:r>
        <w:rPr>
          <w:b/>
          <w:bCs/>
          <w:color w:val="1F3864"/>
        </w:rPr>
        <w:t xml:space="preserve">3.  Rights benefiting the Property</w:t>
      </w:r>
    </w:p>
    <w:p>
      <w:pPr>
        <w:tabs>
          <w:tab w:val="left" w:pos="900"/>
        </w:tabs>
        <w:spacing w:after="40" w:line="268"/>
        <w:ind w:left="900" w:hanging="900"/>
      </w:pPr>
      <w:r>
        <w:t xml:space="preserve">3.1	</w:t>
      </w:r>
      <w:r>
        <w:t xml:space="preserve">Please give details of all rights enjoyed with the Property (for example, rights of light, support, way, drainage or services).</w:t>
      </w:r>
    </w:p>
    <w:p>
      <w:pPr>
        <w:spacing w:after="120" w:line="268"/>
        <w:ind w:left="900"/>
      </w:pPr>
      <w:r>
        <w:rPr>
          <w:b/>
          <w:bCs/>
        </w:rPr>
        <w:t xml:space="preserve">Reply:  </w:t>
      </w:r>
      <w:r>
        <w:t xml:space="preserve">The Property has the benefit of the rights of support granted by the deed of easement dated 4 June 1998 and of rights of access and the passage of services over the rear service yard, as noted in the property register of the title. The Property is otherwise served by mains services connected directly to the public networks.</w:t>
      </w:r>
    </w:p>
    <w:p>
      <w:pPr>
        <w:tabs>
          <w:tab w:val="left" w:pos="900"/>
        </w:tabs>
        <w:spacing w:after="40" w:line="268"/>
        <w:ind w:left="900" w:hanging="900"/>
      </w:pPr>
      <w:r>
        <w:t xml:space="preserve">3.2	</w:t>
      </w:r>
      <w:r>
        <w:t xml:space="preserve">Are any of those rights subject to any conditions, or to any payment?</w:t>
      </w:r>
    </w:p>
    <w:p>
      <w:pPr>
        <w:spacing w:after="120" w:line="268"/>
        <w:ind w:left="900"/>
      </w:pPr>
      <w:r>
        <w:rPr>
          <w:b/>
          <w:bCs/>
        </w:rPr>
        <w:t xml:space="preserve">Reply:  </w:t>
      </w:r>
      <w:r>
        <w:t xml:space="preserve">No, save as set out in the registered title.</w:t>
      </w:r>
    </w:p>
    <w:p>
      <w:pPr>
        <w:spacing w:after="80" w:before="200"/>
      </w:pPr>
      <w:r>
        <w:rPr>
          <w:b/>
          <w:bCs/>
          <w:color w:val="1F3864"/>
        </w:rPr>
        <w:t xml:space="preserve">4.  Adverse rights affecting the Property</w:t>
      </w:r>
    </w:p>
    <w:p>
      <w:pPr>
        <w:tabs>
          <w:tab w:val="left" w:pos="900"/>
        </w:tabs>
        <w:spacing w:after="40" w:line="268"/>
        <w:ind w:left="900" w:hanging="900"/>
      </w:pPr>
      <w:r>
        <w:t xml:space="preserve">4.1	</w:t>
      </w:r>
      <w:r>
        <w:t xml:space="preserve">Please give details of any rights, easements, covenants or other matters that adversely affect the Property.</w:t>
      </w:r>
    </w:p>
    <w:p>
      <w:pPr>
        <w:spacing w:after="120" w:line="268"/>
        <w:ind w:left="900"/>
      </w:pPr>
      <w:r>
        <w:rPr>
          <w:b/>
          <w:bCs/>
        </w:rPr>
        <w:t xml:space="preserve">Reply:  </w:t>
      </w:r>
      <w:r>
        <w:t xml:space="preserve">Save as disclosed in the registered title (including the deed of easement dated 4 June 1998 in favour of the adjoining owner at 20 Farringdon Road) and the occupational tenancies, the Seller is not aware of any matters adversely affecting the Property.</w:t>
      </w:r>
    </w:p>
    <w:p>
      <w:pPr>
        <w:tabs>
          <w:tab w:val="left" w:pos="900"/>
        </w:tabs>
        <w:spacing w:after="40" w:line="268"/>
        <w:ind w:left="900" w:hanging="900"/>
      </w:pPr>
      <w:r>
        <w:t xml:space="preserve">4.2	</w:t>
      </w:r>
      <w:r>
        <w:t xml:space="preserve">Is the Seller aware of any breach of, or any dispute regarding, any such matter?</w:t>
      </w:r>
    </w:p>
    <w:p>
      <w:pPr>
        <w:spacing w:after="120" w:line="268"/>
        <w:ind w:left="900"/>
      </w:pPr>
      <w:r>
        <w:rPr>
          <w:b/>
          <w:bCs/>
        </w:rPr>
        <w:t xml:space="preserve">Reply:  </w:t>
      </w:r>
      <w:r>
        <w:t xml:space="preserve">No.</w:t>
      </w:r>
    </w:p>
    <w:p>
      <w:pPr>
        <w:spacing w:after="80" w:before="200"/>
      </w:pPr>
      <w:r>
        <w:rPr>
          <w:b/>
          <w:bCs/>
          <w:color w:val="1F3864"/>
        </w:rPr>
        <w:t xml:space="preserve">5.  Title and inspection</w:t>
      </w:r>
    </w:p>
    <w:p>
      <w:pPr>
        <w:tabs>
          <w:tab w:val="left" w:pos="900"/>
        </w:tabs>
        <w:spacing w:after="40" w:line="268"/>
        <w:ind w:left="900" w:hanging="900"/>
      </w:pPr>
      <w:r>
        <w:t xml:space="preserve">5.1	</w:t>
      </w:r>
      <w:r>
        <w:t xml:space="preserve">Is the Seller aware of any person (other than the registered proprietor and the occupational tenants) in occupation of or having any right to occupy the Property?</w:t>
      </w:r>
    </w:p>
    <w:p>
      <w:pPr>
        <w:spacing w:after="120" w:line="268"/>
        <w:ind w:left="900"/>
      </w:pPr>
      <w:r>
        <w:rPr>
          <w:b/>
          <w:bCs/>
        </w:rPr>
        <w:t xml:space="preserve">Reply:  </w:t>
      </w:r>
      <w:r>
        <w:t xml:space="preserve">No.</w:t>
      </w:r>
    </w:p>
    <w:p>
      <w:pPr>
        <w:tabs>
          <w:tab w:val="left" w:pos="900"/>
        </w:tabs>
        <w:spacing w:after="40" w:line="268"/>
        <w:ind w:left="900" w:hanging="900"/>
      </w:pPr>
      <w:r>
        <w:t xml:space="preserve">5.2	</w:t>
      </w:r>
      <w:r>
        <w:t xml:space="preserve">Has any person made any claim adverse to the Seller's title, including by way of adverse possession?</w:t>
      </w:r>
    </w:p>
    <w:p>
      <w:pPr>
        <w:spacing w:after="120" w:line="268"/>
        <w:ind w:left="900"/>
      </w:pPr>
      <w:r>
        <w:rPr>
          <w:b/>
          <w:bCs/>
        </w:rPr>
        <w:t xml:space="preserve">Reply:  </w:t>
      </w:r>
      <w:r>
        <w:t xml:space="preserve">No.</w:t>
      </w:r>
    </w:p>
    <w:p>
      <w:pPr>
        <w:spacing w:after="80" w:before="200"/>
      </w:pPr>
      <w:r>
        <w:rPr>
          <w:b/>
          <w:bCs/>
          <w:color w:val="1F3864"/>
        </w:rPr>
        <w:t xml:space="preserve">6.  Physical condition</w:t>
      </w:r>
    </w:p>
    <w:p>
      <w:pPr>
        <w:tabs>
          <w:tab w:val="left" w:pos="900"/>
        </w:tabs>
        <w:spacing w:after="40" w:line="268"/>
        <w:ind w:left="900" w:hanging="900"/>
      </w:pPr>
      <w:r>
        <w:t xml:space="preserve">6.1	</w:t>
      </w:r>
      <w:r>
        <w:t xml:space="preserve">Does the Property include any structure or material that is defective or has been the subject of remedial works?</w:t>
      </w:r>
    </w:p>
    <w:p>
      <w:pPr>
        <w:spacing w:after="120" w:line="268"/>
        <w:ind w:left="900"/>
      </w:pPr>
      <w:r>
        <w:rPr>
          <w:b/>
          <w:bCs/>
        </w:rPr>
        <w:t xml:space="preserve">Reply:  </w:t>
      </w:r>
      <w:r>
        <w:t xml:space="preserve">The building was comprehensively refurbished in 2009. The Seller is not aware of any structural defect. No high-alumina cement, asbestos (save as recorded in the asbestos register, a copy of which is available) or other deleterious material has been used in the original construction or the refurbishment so far as the Seller is aware. The Buyer should rely on its own survey.</w:t>
      </w:r>
    </w:p>
    <w:p>
      <w:pPr>
        <w:tabs>
          <w:tab w:val="left" w:pos="900"/>
        </w:tabs>
        <w:spacing w:after="40" w:line="268"/>
        <w:ind w:left="900" w:hanging="900"/>
      </w:pPr>
      <w:r>
        <w:t xml:space="preserve">6.2	</w:t>
      </w:r>
      <w:r>
        <w:t xml:space="preserve">Has there been any flooding, subsidence, heave or landslip affecting the Property?</w:t>
      </w:r>
    </w:p>
    <w:p>
      <w:pPr>
        <w:spacing w:after="120" w:line="268"/>
        <w:ind w:left="900"/>
      </w:pPr>
      <w:r>
        <w:rPr>
          <w:b/>
          <w:bCs/>
        </w:rPr>
        <w:t xml:space="preserve">Reply:  </w:t>
      </w:r>
      <w:r>
        <w:t xml:space="preserve">No, so far as the Seller is aware.</w:t>
      </w:r>
    </w:p>
    <w:p>
      <w:pPr>
        <w:spacing w:after="80" w:before="200"/>
      </w:pPr>
      <w:r>
        <w:rPr>
          <w:b/>
          <w:bCs/>
          <w:color w:val="1F3864"/>
        </w:rPr>
        <w:t xml:space="preserve">7.  Services</w:t>
      </w:r>
    </w:p>
    <w:p>
      <w:pPr>
        <w:tabs>
          <w:tab w:val="left" w:pos="900"/>
        </w:tabs>
        <w:spacing w:after="40" w:line="268"/>
        <w:ind w:left="900" w:hanging="900"/>
      </w:pPr>
      <w:r>
        <w:t xml:space="preserve">7.1	</w:t>
      </w:r>
      <w:r>
        <w:t xml:space="preserve">Please confirm which of the following services are connected to the Property: mains water, foul and surface water drainage, electricity, gas, telecommunications and broadband.</w:t>
      </w:r>
    </w:p>
    <w:p>
      <w:pPr>
        <w:spacing w:after="120" w:line="268"/>
        <w:ind w:left="900"/>
      </w:pPr>
      <w:r>
        <w:rPr>
          <w:b/>
          <w:bCs/>
        </w:rPr>
        <w:t xml:space="preserve">Reply:  </w:t>
      </w:r>
      <w:r>
        <w:t xml:space="preserve">All of those services are connected to the Property by means of direct connections to the public mains and networks. A public sewer crosses the rear service yard; building over it is subject to the usual statutory controls.</w:t>
      </w:r>
    </w:p>
    <w:p>
      <w:pPr>
        <w:tabs>
          <w:tab w:val="left" w:pos="900"/>
        </w:tabs>
        <w:spacing w:after="40" w:line="268"/>
        <w:ind w:left="900" w:hanging="900"/>
      </w:pPr>
      <w:r>
        <w:t xml:space="preserve">7.2	</w:t>
      </w:r>
      <w:r>
        <w:t xml:space="preserve">Are any of the services provided through, or do any service media cross, land not forming part of the Property?</w:t>
      </w:r>
    </w:p>
    <w:p>
      <w:pPr>
        <w:spacing w:after="120" w:line="268"/>
        <w:ind w:left="900"/>
      </w:pPr>
      <w:r>
        <w:rPr>
          <w:b/>
          <w:bCs/>
        </w:rPr>
        <w:t xml:space="preserve">Reply:  </w:t>
      </w:r>
      <w:r>
        <w:t xml:space="preserve">Save in respect of the rear service yard (over which the Property has the benefit of rights), no.</w:t>
      </w:r>
    </w:p>
    <w:p>
      <w:pPr>
        <w:spacing w:after="80" w:before="200"/>
      </w:pPr>
      <w:r>
        <w:rPr>
          <w:b/>
          <w:bCs/>
          <w:color w:val="1F3864"/>
        </w:rPr>
        <w:t xml:space="preserve">8.  Occupational leases and tenancies</w:t>
      </w:r>
    </w:p>
    <w:p>
      <w:pPr>
        <w:tabs>
          <w:tab w:val="left" w:pos="900"/>
        </w:tabs>
        <w:spacing w:after="40" w:line="268"/>
        <w:ind w:left="900" w:hanging="900"/>
      </w:pPr>
      <w:r>
        <w:t xml:space="preserve">8.1	</w:t>
      </w:r>
      <w:r>
        <w:t xml:space="preserve">Please provide full details of all leases, tenancies, licences and other rights of occupation affecting the Property, and supply copies.</w:t>
      </w:r>
    </w:p>
    <w:p>
      <w:pPr>
        <w:spacing w:after="120" w:line="268"/>
        <w:ind w:left="900"/>
      </w:pPr>
      <w:r>
        <w:rPr>
          <w:b/>
          <w:bCs/>
        </w:rPr>
        <w:t xml:space="preserve">Reply:  </w:t>
      </w:r>
      <w:r>
        <w:t xml:space="preserve">The Property is let in accordance with the tenancy schedule supplied, comprising six occupational interests over the ground and first to fifth floors. Copies of all six leases, together with related licences, rent review memoranda and the two rent deposit deeds, have been provided in the contract pack. The current total passing rent is £1,362,200 per annum.</w:t>
      </w:r>
    </w:p>
    <w:p>
      <w:pPr>
        <w:tabs>
          <w:tab w:val="left" w:pos="900"/>
        </w:tabs>
        <w:spacing w:after="40" w:line="268"/>
        <w:ind w:left="900" w:hanging="900"/>
      </w:pPr>
      <w:r>
        <w:t xml:space="preserve">8.2	</w:t>
      </w:r>
      <w:r>
        <w:t xml:space="preserve">Are there any rent reviews outstanding or in the course of being agreed or determined?</w:t>
      </w:r>
    </w:p>
    <w:p>
      <w:pPr>
        <w:spacing w:after="120" w:line="268"/>
        <w:ind w:left="900"/>
      </w:pPr>
      <w:r>
        <w:rPr>
          <w:b/>
          <w:bCs/>
        </w:rPr>
        <w:t xml:space="preserve">Reply:  </w:t>
      </w:r>
      <w:r>
        <w:t xml:space="preserve">No. The 2024 review of the ground floor lease (Café Bertrand Ltd) and the September 2025 review of the second floor lease (Northwind Media Ltd) have both been agreed and documented. No further reviews are currently due.</w:t>
      </w:r>
    </w:p>
    <w:p>
      <w:pPr>
        <w:tabs>
          <w:tab w:val="left" w:pos="900"/>
        </w:tabs>
        <w:spacing w:after="40" w:line="268"/>
        <w:ind w:left="900" w:hanging="900"/>
      </w:pPr>
      <w:r>
        <w:t xml:space="preserve">8.3	</w:t>
      </w:r>
      <w:r>
        <w:t xml:space="preserve">Is any rent in arrears, and are any tenants in breach of covenant?</w:t>
      </w:r>
    </w:p>
    <w:p>
      <w:pPr>
        <w:spacing w:after="120" w:line="268"/>
        <w:ind w:left="900"/>
      </w:pPr>
      <w:r>
        <w:rPr>
          <w:b/>
          <w:bCs/>
        </w:rPr>
        <w:t xml:space="preserve">Reply:  </w:t>
      </w:r>
      <w:r>
        <w:t xml:space="preserve">No rent is in arrears as at the date of these replies and the Seller is not aware of any subsisting material breach of covenant by any tenant. All tenants are paying the passing rent.</w:t>
      </w:r>
    </w:p>
    <w:p>
      <w:pPr>
        <w:tabs>
          <w:tab w:val="left" w:pos="900"/>
        </w:tabs>
        <w:spacing w:after="40" w:line="268"/>
        <w:ind w:left="900" w:hanging="900"/>
      </w:pPr>
      <w:r>
        <w:t xml:space="preserve">8.4	</w:t>
      </w:r>
      <w:r>
        <w:t xml:space="preserve">Please give details of any rent deposits held.</w:t>
      </w:r>
    </w:p>
    <w:p>
      <w:pPr>
        <w:spacing w:after="120" w:line="268"/>
        <w:ind w:left="900"/>
      </w:pPr>
      <w:r>
        <w:rPr>
          <w:b/>
          <w:bCs/>
        </w:rPr>
        <w:t xml:space="preserve">Reply:  </w:t>
      </w:r>
      <w:r>
        <w:t xml:space="preserve">The Seller holds a rent deposit of £23,750 under the ground floor lease (Café Bertrand Ltd) and £63,800 under the fourth floor lease (Pemberton Recruitment Ltd), in each case under a rent deposit deed. The benefit of those deposits and deeds will be assigned to the Buyer on completion.</w:t>
      </w:r>
    </w:p>
    <w:p>
      <w:pPr>
        <w:tabs>
          <w:tab w:val="left" w:pos="900"/>
        </w:tabs>
        <w:spacing w:after="40" w:line="268"/>
        <w:ind w:left="900" w:hanging="900"/>
      </w:pPr>
      <w:r>
        <w:t xml:space="preserve">8.5	</w:t>
      </w:r>
      <w:r>
        <w:t xml:space="preserve">Have any of the tenants given notice to break, assign, sublet or determine their lease?</w:t>
      </w:r>
    </w:p>
    <w:p>
      <w:pPr>
        <w:spacing w:after="120" w:line="268"/>
        <w:ind w:left="900"/>
      </w:pPr>
      <w:r>
        <w:rPr>
          <w:b/>
          <w:bCs/>
        </w:rPr>
        <w:t xml:space="preserve">Reply:  </w:t>
      </w:r>
      <w:r>
        <w:t xml:space="preserve">No.</w:t>
      </w:r>
    </w:p>
    <w:p>
      <w:pPr>
        <w:spacing w:after="80" w:before="200"/>
      </w:pPr>
      <w:r>
        <w:rPr>
          <w:b/>
          <w:bCs/>
          <w:color w:val="1F3864"/>
        </w:rPr>
        <w:t xml:space="preserve">9.  Notices</w:t>
      </w:r>
    </w:p>
    <w:p>
      <w:pPr>
        <w:tabs>
          <w:tab w:val="left" w:pos="900"/>
        </w:tabs>
        <w:spacing w:after="40" w:line="268"/>
        <w:ind w:left="900" w:hanging="900"/>
      </w:pPr>
      <w:r>
        <w:t xml:space="preserve">9.1	</w:t>
      </w:r>
      <w:r>
        <w:t xml:space="preserve">Please give details of any notices affecting the Property (for example, from any landlord, tenant, statutory authority or neighbour).</w:t>
      </w:r>
    </w:p>
    <w:p>
      <w:pPr>
        <w:spacing w:after="120" w:line="268"/>
        <w:ind w:left="900"/>
      </w:pPr>
      <w:r>
        <w:rPr>
          <w:b/>
          <w:bCs/>
        </w:rPr>
        <w:t xml:space="preserve">Reply:  </w:t>
      </w:r>
      <w:r>
        <w:t xml:space="preserve">The Seller has received routine correspondence from the London Borough of Islington regarding the Farringdon public realm works, copies of which are available on request. That correspondence does not materially affect the Property or its access. No other notices materially affecting the Property have been received.</w:t>
      </w:r>
    </w:p>
    <w:p>
      <w:pPr>
        <w:spacing w:after="80" w:before="200"/>
      </w:pPr>
      <w:r>
        <w:rPr>
          <w:b/>
          <w:bCs/>
          <w:color w:val="1F3864"/>
        </w:rPr>
        <w:t xml:space="preserve">10.  Disputes</w:t>
      </w:r>
    </w:p>
    <w:p>
      <w:pPr>
        <w:tabs>
          <w:tab w:val="left" w:pos="900"/>
        </w:tabs>
        <w:spacing w:after="40" w:line="268"/>
        <w:ind w:left="900" w:hanging="900"/>
      </w:pPr>
      <w:r>
        <w:t xml:space="preserve">10.1	</w:t>
      </w:r>
      <w:r>
        <w:t xml:space="preserve">Please give details of any disputes, claims, actions or complaints relating to the Property (whether current, threatened or anticipated).</w:t>
      </w:r>
    </w:p>
    <w:p>
      <w:pPr>
        <w:spacing w:after="120" w:line="268"/>
        <w:ind w:left="900"/>
      </w:pPr>
      <w:r>
        <w:rPr>
          <w:b/>
          <w:bCs/>
        </w:rPr>
        <w:t xml:space="preserve">Reply:  </w:t>
      </w:r>
      <w:r>
        <w:t xml:space="preserve">None.</w:t>
      </w:r>
    </w:p>
    <w:p>
      <w:pPr>
        <w:spacing w:after="80" w:before="200"/>
      </w:pPr>
      <w:r>
        <w:rPr>
          <w:b/>
          <w:bCs/>
          <w:color w:val="1F3864"/>
        </w:rPr>
        <w:t xml:space="preserve">11.  Planning and building regulations</w:t>
      </w:r>
    </w:p>
    <w:p>
      <w:pPr>
        <w:tabs>
          <w:tab w:val="left" w:pos="900"/>
        </w:tabs>
        <w:spacing w:after="40" w:line="268"/>
        <w:ind w:left="900" w:hanging="900"/>
      </w:pPr>
      <w:r>
        <w:t xml:space="preserve">11.1	</w:t>
      </w:r>
      <w:r>
        <w:t xml:space="preserve">Please give details of the planning permissions, building regulation approvals and listed building or conservation area consents that relate to the present use and construction of the Property.</w:t>
      </w:r>
    </w:p>
    <w:p>
      <w:pPr>
        <w:spacing w:after="120" w:line="268"/>
        <w:ind w:left="900"/>
      </w:pPr>
      <w:r>
        <w:rPr>
          <w:b/>
          <w:bCs/>
        </w:rPr>
        <w:t xml:space="preserve">Reply:  </w:t>
      </w:r>
      <w:r>
        <w:t xml:space="preserve">The Property benefits from planning permission for office use (now Use Class E) with ancillary retail use at ground floor level, and from the building regulation approvals obtained for the 2009 refurbishment. The Property is not listed and is not within a conservation area. The relevant consents are available in the contract pack.</w:t>
      </w:r>
    </w:p>
    <w:p>
      <w:pPr>
        <w:tabs>
          <w:tab w:val="left" w:pos="900"/>
        </w:tabs>
        <w:spacing w:after="40" w:line="268"/>
        <w:ind w:left="900" w:hanging="900"/>
      </w:pPr>
      <w:r>
        <w:t xml:space="preserve">11.2	</w:t>
      </w:r>
      <w:r>
        <w:t xml:space="preserve">Is there any outstanding enforcement or breach of condition notice, or any current planning application?</w:t>
      </w:r>
    </w:p>
    <w:p>
      <w:pPr>
        <w:spacing w:after="120" w:line="268"/>
        <w:ind w:left="900"/>
      </w:pPr>
      <w:r>
        <w:rPr>
          <w:b/>
          <w:bCs/>
        </w:rPr>
        <w:t xml:space="preserve">Reply:  </w:t>
      </w:r>
      <w:r>
        <w:t xml:space="preserve">No.</w:t>
      </w:r>
    </w:p>
    <w:p>
      <w:pPr>
        <w:tabs>
          <w:tab w:val="left" w:pos="900"/>
        </w:tabs>
        <w:spacing w:after="40" w:line="268"/>
        <w:ind w:left="900" w:hanging="900"/>
      </w:pPr>
      <w:r>
        <w:t xml:space="preserve">11.3	</w:t>
      </w:r>
      <w:r>
        <w:t xml:space="preserve">Please provide a copy of the Energy Performance Certificate.</w:t>
      </w:r>
    </w:p>
    <w:p>
      <w:pPr>
        <w:spacing w:after="120" w:line="268"/>
        <w:ind w:left="900"/>
      </w:pPr>
      <w:r>
        <w:rPr>
          <w:b/>
          <w:bCs/>
        </w:rPr>
        <w:t xml:space="preserve">Reply:  </w:t>
      </w:r>
      <w:r>
        <w:t xml:space="preserve">An EPC with an asset rating of C is in place and a copy has been supplied. The Property therefore meets the current minimum energy efficiency standards for continued letting.</w:t>
      </w:r>
    </w:p>
    <w:p>
      <w:pPr>
        <w:spacing w:after="80" w:before="200"/>
      </w:pPr>
      <w:r>
        <w:rPr>
          <w:b/>
          <w:bCs/>
          <w:color w:val="1F3864"/>
        </w:rPr>
        <w:t xml:space="preserve">12.  Statutory agreements and infrastructure</w:t>
      </w:r>
    </w:p>
    <w:p>
      <w:pPr>
        <w:tabs>
          <w:tab w:val="left" w:pos="900"/>
        </w:tabs>
        <w:spacing w:after="40" w:line="268"/>
        <w:ind w:left="900" w:hanging="900"/>
      </w:pPr>
      <w:r>
        <w:t xml:space="preserve">12.1	</w:t>
      </w:r>
      <w:r>
        <w:t xml:space="preserve">Please give details of any agreement under section 106 of the Town and Country Planning Act 1990, section 278 of the Highways Act 1980 or any similar statutory agreement.</w:t>
      </w:r>
    </w:p>
    <w:p>
      <w:pPr>
        <w:spacing w:after="120" w:line="268"/>
        <w:ind w:left="900"/>
      </w:pPr>
      <w:r>
        <w:rPr>
          <w:b/>
          <w:bCs/>
        </w:rPr>
        <w:t xml:space="preserve">Reply:  </w:t>
      </w:r>
      <w:r>
        <w:t xml:space="preserve">The Seller is not aware of any such agreement affecting the Property.</w:t>
      </w:r>
    </w:p>
    <w:p>
      <w:pPr>
        <w:spacing w:after="80" w:before="200"/>
      </w:pPr>
      <w:r>
        <w:rPr>
          <w:b/>
          <w:bCs/>
          <w:color w:val="1F3864"/>
        </w:rPr>
        <w:t xml:space="preserve">13.  Environmental</w:t>
      </w:r>
    </w:p>
    <w:p>
      <w:pPr>
        <w:tabs>
          <w:tab w:val="left" w:pos="900"/>
        </w:tabs>
        <w:spacing w:after="40" w:line="268"/>
        <w:ind w:left="900" w:hanging="900"/>
      </w:pPr>
      <w:r>
        <w:t xml:space="preserve">13.1	</w:t>
      </w:r>
      <w:r>
        <w:t xml:space="preserve">Has any environmental investigation or assessment been carried out, and is the Seller aware of any actual or potential contamination?</w:t>
      </w:r>
    </w:p>
    <w:p>
      <w:pPr>
        <w:spacing w:after="120" w:line="268"/>
        <w:ind w:left="900"/>
      </w:pPr>
      <w:r>
        <w:rPr>
          <w:b/>
          <w:bCs/>
        </w:rPr>
        <w:t xml:space="preserve">Reply:  </w:t>
      </w:r>
      <w:r>
        <w:t xml:space="preserve">A desktop environmental assessment obtained on the 2009 acquisition returned a satisfactory result. The Seller is not aware of any contamination of the Property or of any notice or proceedings under Part 2A of the Environmental Protection Act 1990.</w:t>
      </w:r>
    </w:p>
    <w:p>
      <w:pPr>
        <w:spacing w:after="80" w:before="200"/>
      </w:pPr>
      <w:r>
        <w:rPr>
          <w:b/>
          <w:bCs/>
          <w:color w:val="1F3864"/>
        </w:rPr>
        <w:t xml:space="preserve">14.  Insurance</w:t>
      </w:r>
    </w:p>
    <w:p>
      <w:pPr>
        <w:tabs>
          <w:tab w:val="left" w:pos="900"/>
        </w:tabs>
        <w:spacing w:after="40" w:line="268"/>
        <w:ind w:left="900" w:hanging="900"/>
      </w:pPr>
      <w:r>
        <w:t xml:space="preserve">14.1	</w:t>
      </w:r>
      <w:r>
        <w:t xml:space="preserve">Please supply details of the buildings insurance maintained by the Seller.</w:t>
      </w:r>
    </w:p>
    <w:p>
      <w:pPr>
        <w:spacing w:after="120" w:line="268"/>
        <w:ind w:left="900"/>
      </w:pPr>
      <w:r>
        <w:rPr>
          <w:b/>
          <w:bCs/>
        </w:rPr>
        <w:t xml:space="preserve">Reply:  </w:t>
      </w:r>
      <w:r>
        <w:t xml:space="preserve">The Property is insured under the Seller's block buildings policy. The current annual premium attributable to the Property is £58,400, with cover to 31 December 2026. The premium is recovered from the tenants through the insurance rent. There have been no insurance claims in the last three years and no unusual premium loadings or conditions.</w:t>
      </w:r>
    </w:p>
    <w:p>
      <w:pPr>
        <w:spacing w:after="80" w:before="200"/>
      </w:pPr>
      <w:r>
        <w:rPr>
          <w:b/>
          <w:bCs/>
          <w:color w:val="1F3864"/>
        </w:rPr>
        <w:t xml:space="preserve">15.  Rates and outgoings</w:t>
      </w:r>
    </w:p>
    <w:p>
      <w:pPr>
        <w:tabs>
          <w:tab w:val="left" w:pos="900"/>
        </w:tabs>
        <w:spacing w:after="40" w:line="268"/>
        <w:ind w:left="900" w:hanging="900"/>
      </w:pPr>
      <w:r>
        <w:t xml:space="preserve">15.1	</w:t>
      </w:r>
      <w:r>
        <w:t xml:space="preserve">Please give details of the rateable value and business rates payable, and of any other outgoings.</w:t>
      </w:r>
    </w:p>
    <w:p>
      <w:pPr>
        <w:spacing w:after="120" w:line="268"/>
        <w:ind w:left="900"/>
      </w:pPr>
      <w:r>
        <w:rPr>
          <w:b/>
          <w:bCs/>
        </w:rPr>
        <w:t xml:space="preserve">Reply:  </w:t>
      </w:r>
      <w:r>
        <w:t xml:space="preserve">The Property is assessed for business rates by floor in accordance with the occupational arrangements; the occupational tenants are responsible for the rates on their demises. The only outgoings borne by the Seller as landlord are the buildings insurance and the cost of the common parts, which are recovered through the service charge.</w:t>
      </w:r>
    </w:p>
    <w:p>
      <w:pPr>
        <w:spacing w:after="80" w:before="200"/>
      </w:pPr>
      <w:r>
        <w:rPr>
          <w:b/>
          <w:bCs/>
          <w:color w:val="1F3864"/>
        </w:rPr>
        <w:t xml:space="preserve">16.  Capital allowances</w:t>
      </w:r>
    </w:p>
    <w:p>
      <w:pPr>
        <w:tabs>
          <w:tab w:val="left" w:pos="900"/>
        </w:tabs>
        <w:spacing w:after="40" w:line="268"/>
        <w:ind w:left="900" w:hanging="900"/>
      </w:pPr>
      <w:r>
        <w:t xml:space="preserve">16.1	</w:t>
      </w:r>
      <w:r>
        <w:t xml:space="preserve">Please confirm whether the Seller has claimed capital allowances in respect of the Property, and whether the parties are to enter into a section 198 election.</w:t>
      </w:r>
    </w:p>
    <w:p>
      <w:pPr>
        <w:spacing w:after="120" w:line="268"/>
        <w:ind w:left="900"/>
      </w:pPr>
      <w:r>
        <w:rPr>
          <w:b/>
          <w:bCs/>
        </w:rPr>
        <w:t xml:space="preserve">Reply:  </w:t>
      </w:r>
      <w:r>
        <w:t xml:space="preserve">The Seller has claimed capital allowances in respect of certain plant and machinery. The parties will, if so advised, enter into an election under section 198 of the Capital Allowances Act 2001 fixing a nominal disposal value; the Buyer's tax advisers are to confirm the agreed figure before completion.</w:t>
      </w:r>
    </w:p>
    <w:p>
      <w:pPr>
        <w:spacing w:after="80" w:before="200"/>
      </w:pPr>
      <w:r>
        <w:rPr>
          <w:b/>
          <w:bCs/>
          <w:color w:val="1F3864"/>
        </w:rPr>
        <w:t xml:space="preserve">17.  VAT</w:t>
      </w:r>
    </w:p>
    <w:p>
      <w:pPr>
        <w:tabs>
          <w:tab w:val="left" w:pos="900"/>
        </w:tabs>
        <w:spacing w:after="40" w:line="268"/>
        <w:ind w:left="900" w:hanging="900"/>
      </w:pPr>
      <w:r>
        <w:t xml:space="preserve">17.1	</w:t>
      </w:r>
      <w:r>
        <w:t xml:space="preserve">Has the Seller (or any relevant group member) elected to waive exemption (opted to tax) in relation to the Property?</w:t>
      </w:r>
    </w:p>
    <w:p>
      <w:pPr>
        <w:spacing w:after="120" w:line="268"/>
        <w:ind w:left="900"/>
      </w:pPr>
      <w:r>
        <w:rPr>
          <w:b/>
          <w:bCs/>
        </w:rPr>
        <w:t xml:space="preserve">Reply:  </w:t>
      </w:r>
      <w:r>
        <w:t xml:space="preserve">Yes. The Seller has opted to tax and notified the option to HMRC with effect from 1 April 2014. The option has not been, and will not before completion be, revoked.</w:t>
      </w:r>
    </w:p>
    <w:p>
      <w:pPr>
        <w:tabs>
          <w:tab w:val="left" w:pos="900"/>
        </w:tabs>
        <w:spacing w:after="40" w:line="268"/>
        <w:ind w:left="900" w:hanging="900"/>
      </w:pPr>
      <w:r>
        <w:t xml:space="preserve">17.2	</w:t>
      </w:r>
      <w:r>
        <w:t xml:space="preserve">Is the sale to be treated as a transfer of a going concern (TOGC)?</w:t>
      </w:r>
    </w:p>
    <w:p>
      <w:pPr>
        <w:spacing w:after="120" w:line="268"/>
        <w:ind w:left="900"/>
      </w:pPr>
      <w:r>
        <w:rPr>
          <w:b/>
          <w:bCs/>
        </w:rPr>
        <w:t xml:space="preserve">Reply:  </w:t>
      </w:r>
      <w:r>
        <w:t xml:space="preserve">Yes, it is intended that the sale be treated as a TOGC. The Buyer is required, before completion, to be registered for VAT and to have exercised and notified its own option to tax, and to give the TOGC warranties in the contract.</w:t>
      </w:r>
    </w:p>
    <w:p>
      <w:pPr>
        <w:spacing w:after="80" w:before="200"/>
      </w:pPr>
      <w:r>
        <w:rPr>
          <w:b/>
          <w:bCs/>
          <w:color w:val="1F3864"/>
        </w:rPr>
        <w:t xml:space="preserve">18.  Transaction information</w:t>
      </w:r>
    </w:p>
    <w:p>
      <w:pPr>
        <w:tabs>
          <w:tab w:val="left" w:pos="900"/>
        </w:tabs>
        <w:spacing w:after="40" w:line="268"/>
        <w:ind w:left="900" w:hanging="900"/>
      </w:pPr>
      <w:r>
        <w:t xml:space="preserve">18.1	</w:t>
      </w:r>
      <w:r>
        <w:t xml:space="preserve">Please confirm the full name and registered number of the Seller and the address of its registered office.</w:t>
      </w:r>
    </w:p>
    <w:p>
      <w:pPr>
        <w:spacing w:after="120" w:line="268"/>
        <w:ind w:left="900"/>
      </w:pPr>
      <w:r>
        <w:rPr>
          <w:b/>
          <w:bCs/>
        </w:rPr>
        <w:t xml:space="preserve">Reply:  </w:t>
      </w:r>
      <w:r>
        <w:t xml:space="preserve">Belvedere Estates Limited, company number 06721540, registered office 120 Moorgate, London EC2M 6TX.</w:t>
      </w:r>
    </w:p>
    <w:p>
      <w:pPr>
        <w:tabs>
          <w:tab w:val="left" w:pos="900"/>
        </w:tabs>
        <w:spacing w:after="40" w:line="268"/>
        <w:ind w:left="900" w:hanging="900"/>
      </w:pPr>
      <w:r>
        <w:t xml:space="preserve">18.2	</w:t>
      </w:r>
      <w:r>
        <w:t xml:space="preserve">Is the Seller a UK resident for tax purposes, and is the Seller able to provide the documents needed to satisfy the Buyer's anti-money-laundering checks?</w:t>
      </w:r>
    </w:p>
    <w:p>
      <w:pPr>
        <w:spacing w:after="120" w:line="268"/>
        <w:ind w:left="900"/>
      </w:pPr>
      <w:r>
        <w:rPr>
          <w:b/>
          <w:bCs/>
        </w:rPr>
        <w:t xml:space="preserve">Reply:  </w:t>
      </w:r>
      <w:r>
        <w:t xml:space="preserve">Yes to both. The Seller's solicitors will provide the usual identity and source-of-funds information on request.</w:t>
      </w:r>
    </w:p>
    <w:p>
      <w:pPr>
        <w:spacing w:after="100" w:before="160" w:line="272"/>
      </w:pPr>
      <w:r>
        <w:rPr>
          <w:i/>
          <w:iCs/>
          <w:sz w:val="18"/>
          <w:szCs w:val="18"/>
        </w:rPr>
        <w:t xml:space="preserve">These replies are given subject to the standard CPSE General Conditions. Where a reply states that the Seller is not aware of a matter, that statement is given to the best of the knowledge, information and belief of those of the Seller's officers and employees who would reasonably be expected to have knowledge of the matter, after making reasonable enquiry.</w:t>
      </w:r>
    </w:p>
    <w:p>
      <w:pPr>
        <w:spacing w:after="100" w:before="80" w:line="272"/>
      </w:pPr>
      <w:r>
        <w:rPr>
          <w:b/>
          <w:bCs/>
        </w:rPr>
        <w:t xml:space="preserve">Signed: Marlowe Greaves LLP, Solicitors for the Seller — 18 March 2026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2"/>
      </w:pBdr>
      <w:spacing w:before="60"/>
      <w:jc w:val="center"/>
    </w:pPr>
    <w:r>
      <w:rPr>
        <w:sz w:val="16"/>
        <w:szCs w:val="16"/>
      </w:rPr>
      <w:t xml:space="preserve">CPSE.1 Replies — Project Redwood   ·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2026-06-10T22:51:12.082Z</dcterms:created>
  <dcterms:modified xsi:type="dcterms:W3CDTF">2026-06-10T22:51:12.084Z</dcterms:modified>
</cp:coreProperties>
</file>

<file path=docProps/custom.xml><?xml version="1.0" encoding="utf-8"?>
<Properties xmlns="http://schemas.openxmlformats.org/officeDocument/2006/custom-properties" xmlns:vt="http://schemas.openxmlformats.org/officeDocument/2006/docPropsVTypes"/>
</file>