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72"/>
        <w:jc w:val="center"/>
      </w:pPr>
      <w:r>
        <w:rPr>
          <w:b/>
          <w:bCs/>
          <w:color w:val="1F3864"/>
          <w:sz w:val="24"/>
          <w:szCs w:val="24"/>
        </w:rPr>
        <w:t xml:space="preserve">Whitfield Carter LLP</w:t>
      </w:r>
    </w:p>
    <w:p>
      <w:pPr>
        <w:spacing w:after="120" w:before="0" w:line="272"/>
        <w:jc w:val="center"/>
      </w:pPr>
      <w:r>
        <w:rPr>
          <w:sz w:val="16"/>
          <w:szCs w:val="16"/>
        </w:rPr>
        <w:t xml:space="preserve">22 Bishopsgate, London EC2N 4BQ  ·  www.whitfieldcarter.com</w:t>
      </w:r>
    </w:p>
    <w:p>
      <w:pPr>
        <w:spacing w:after="40" w:before="0" w:line="272"/>
        <w:jc w:val="center"/>
      </w:pPr>
      <w:r>
        <w:rPr>
          <w:b/>
          <w:bCs/>
          <w:sz w:val="24"/>
          <w:szCs w:val="24"/>
        </w:rPr>
        <w:t xml:space="preserve">COMPLETION CHECKLIST — PROJECT REDWOOD</w:t>
      </w:r>
    </w:p>
    <w:p>
      <w:pPr>
        <w:spacing w:after="20" w:before="0" w:line="272"/>
        <w:jc w:val="center"/>
      </w:pPr>
      <w:r>
        <w:rPr>
          <w:b/>
          <w:bCs/>
        </w:rPr>
        <w:t xml:space="preserve">Acquisition of Kingsgate House, 14–18 Farringdon Road, London EC1M 3HE</w:t>
      </w:r>
    </w:p>
    <w:p>
      <w:pPr>
        <w:spacing w:after="20" w:before="0" w:line="272"/>
        <w:jc w:val="center"/>
      </w:pPr>
      <w:r>
        <w:rPr>
          <w:sz w:val="18"/>
          <w:szCs w:val="18"/>
        </w:rPr>
        <w:t xml:space="preserve">Buyer: Thornbury Properties Limited  ·  Seller: Belvedere Estates Limited  ·  Ref WC-00108</w:t>
      </w:r>
    </w:p>
    <w:p>
      <w:pPr>
        <w:spacing w:after="160" w:before="0" w:line="272"/>
        <w:jc w:val="center"/>
      </w:pPr>
      <w:r>
        <w:rPr>
          <w:i/>
          <w:iCs/>
          <w:sz w:val="18"/>
          <w:szCs w:val="18"/>
        </w:rPr>
        <w:t xml:space="preserve">Exchange: 17 April 2026   ·   Completion: 15 May 2026   ·   Purchase price: £18,500,000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200"/>
        <w:gridCol w:w="1900"/>
        <w:gridCol w:w="1246"/>
      </w:tblGrid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 / document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 / date</w:t>
            </w:r>
          </w:p>
        </w:tc>
      </w:tr>
      <w:tr>
        <w:tc>
          <w:tcPr>
            <w:gridSpan w:val="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A.  Pre-exchange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Engagement letter signed; AML / source-of-funds checks completed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12 Feb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Heads of terms agreed (subject to contract)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12 Feb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Contract pack received and reviewed (official copies, leases, replies to CPSE.1)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18 Mar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Searches commissioned and reviewed (local, drainage &amp; water, environmental, chancel)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20 Mar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Report on title to client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24 Mar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Contract negotiated; v2 redline from seller's solicitors incorporated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 / Seller's sol. (MG)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26 Mar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Board approval of acquisition and authority to execute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15 Apr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TOGC position confirmed; buyer VAT registration and option to tax in place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 / Client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16 Apr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Deposit funds (£1,850,000) cleared and available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16 Apr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Contract and TR1 approved as to form; engrossments prepared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 / Seller's sol. (MG)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16 Apr</w:t>
            </w:r>
          </w:p>
        </w:tc>
      </w:tr>
      <w:tr>
        <w:tc>
          <w:tcPr>
            <w:gridSpan w:val="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B.  Exchange — 17 April 2026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Exchange of contracts (Law Society Formula B)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 / Seller's sol. (MG)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17 Apr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Deposit of £1,850,000 paid to seller's solicitors as stakeholder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17 Apr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Risk passes to buyer; buildings insurance arranged from exchange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17 Apr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Diarise completion date (15 May 2026) and notice periods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17 Apr</w:t>
            </w:r>
          </w:p>
        </w:tc>
      </w:tr>
      <w:tr>
        <w:tc>
          <w:tcPr>
            <w:gridSpan w:val="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C.  Pre-completion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Pre-completion searches: Land Registry priority (OS1) and Companies / bankruptcy (K15)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8 May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Requisitions on title raised and replied to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 / Seller's sol. (MG)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8 May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Completion statement prepared and agreed (apportionments, insurance)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 / Seller's sol. (MG)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11 May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Seller's solicitors' undertaking to discharge Crownbridge Bank plc charge (DS1)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Seller's sol. (MG)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Agreed form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Rent deposit deeds (£23,750 and £63,800): assignment / notices prepared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12 May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Completion monies (balance £16,537,107.69) requested from client in cleared funds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 / Client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13 May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SDLT return (SDLT1) prepared for submission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Drafted</w:t>
            </w:r>
          </w:p>
        </w:tc>
      </w:tr>
      <w:tr>
        <w:tc>
          <w:tcPr>
            <w:gridSpan w:val="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D.  Completion — 15 May 2026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Confirm priority search valid and completion monies received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15 May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Send completion monies (balance, plus insurance apportionment, less deposit) to seller's solicitors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15 May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Release of executed TR1 and title documents; completion confirmed by telephone (Code for Completion)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 / Seller's sol. (MG)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15 May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Date the transfer and contract; seller's solicitors account for deposit and interest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 / Seller's sol. (MG)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Done 15 May</w:t>
            </w:r>
          </w:p>
        </w:tc>
      </w:tr>
      <w:tr>
        <w:tc>
          <w:tcPr>
            <w:gridSpan w:val="4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B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E.  Post-completion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Submit SDLT return and pay SDLT (£914,500) within 14 days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By 29 May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Apply to register transfer at HM Land Registry within priority period (by 5 June 2026)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By 5 Jun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Receive DS1 / electronic discharge of seller's charge and update register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Serve notices of assignment of the reversion on all six tenants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 / Managing agent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By 22 May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Hand over to managing agent; set up rent collection from June quarter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Client / Managing agent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5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Report to client on completion; close file and archive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WC (JO/EM)</w:t>
            </w:r>
          </w:p>
        </w:tc>
        <w:tc>
          <w:tcPr>
            <w:tcW w:type="dxa" w:w="124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6"/>
            </w:pPr>
            <w:r>
              <w:rPr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100" w:before="120" w:line="272"/>
      </w:pPr>
      <w:r>
        <w:rPr>
          <w:i/>
          <w:iCs/>
          <w:sz w:val="16"/>
          <w:szCs w:val="16"/>
        </w:rPr>
        <w:t xml:space="preserve">Key: WC = Whitfield Carter LLP (JO = James Osei, EM = Elena Marchetti); MG = Marlowe Greaves LLP (seller's solicitors); CL = client (Thornbury Properties); AG = managing agent.</w:t>
      </w:r>
    </w:p>
    <w:p>
      <w:pPr>
        <w:spacing w:after="100" w:before="40" w:line="272"/>
      </w:pPr>
      <w:r>
        <w:rPr>
          <w:sz w:val="16"/>
          <w:szCs w:val="16"/>
        </w:rPr>
        <w:t xml:space="preserve">Prepared by Elena Marchetti, Whitfield Carter LLP. Last updated 15 May 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2"/>
      </w:pBdr>
      <w:spacing w:before="60"/>
      <w:jc w:val="center"/>
    </w:pPr>
    <w:r>
      <w:rPr>
        <w:sz w:val="16"/>
        <w:szCs w:val="16"/>
      </w:rPr>
      <w:t xml:space="preserve">Project Redwood — Completion Checklist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2026-06-10T22:54:53.423Z</dcterms:created>
  <dcterms:modified xsi:type="dcterms:W3CDTF">2026-06-10T22:54:53.423Z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