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i/>
          <w:iCs/>
        </w:rPr>
        <w:t xml:space="preserve">Private &amp; Confidential</w:t>
      </w:r>
    </w:p>
    <w:p>
      <w:pPr>
        <w:spacing w:after="200" w:before="0" w:line="276"/>
      </w:pPr>
      <w:r>
        <w:rPr>
          <w:i/>
          <w:iCs/>
        </w:rPr>
        <w:t xml:space="preserve">By email and by post</w:t>
      </w:r>
    </w:p>
    <w:p>
      <w:pPr>
        <w:spacing w:after="160" w:before="0" w:line="276"/>
      </w:pPr>
      <w:r>
        <w:t xml:space="preserve">9 February 2026</w:t>
      </w:r>
    </w:p>
    <w:p>
      <w:pPr>
        <w:spacing w:after="120" w:before="0" w:line="276"/>
      </w:pPr>
      <w:r>
        <w:t xml:space="preserve">Mr Daniel Quigley</w:t>
      </w:r>
    </w:p>
    <w:p>
      <w:pPr>
        <w:spacing w:after="120" w:before="0" w:line="276"/>
      </w:pPr>
      <w:r>
        <w:t xml:space="preserve">Managing Director</w:t>
      </w:r>
    </w:p>
    <w:p>
      <w:pPr>
        <w:spacing w:after="120" w:before="0" w:line="276"/>
      </w:pPr>
      <w:r>
        <w:t xml:space="preserve">Thornbury Properties Limited</w:t>
      </w:r>
    </w:p>
    <w:p>
      <w:pPr>
        <w:spacing w:after="200" w:before="0" w:line="276"/>
      </w:pPr>
      <w:r>
        <w:t xml:space="preserve">8 Devonshire Square, London EC2M 4PL</w:t>
      </w:r>
    </w:p>
    <w:p>
      <w:pPr>
        <w:spacing w:after="160" w:before="0" w:line="276"/>
      </w:pPr>
      <w:r>
        <w:t xml:space="preserve">Dear Daniel</w:t>
      </w:r>
    </w:p>
    <w:p>
      <w:pPr>
        <w:spacing w:after="160" w:before="0" w:line="276"/>
      </w:pPr>
      <w:r>
        <w:rPr>
          <w:b/>
          <w:bCs/>
        </w:rPr>
        <w:t xml:space="preserve">Engagement — Acquisition of the freehold of Kingsgate House, 14–18 Farringdon Road, London EC1M 3HE (“Project Redwood”)</w:t>
      </w:r>
    </w:p>
    <w:p>
      <w:pPr>
        <w:spacing w:after="120" w:before="0" w:line="276"/>
      </w:pPr>
      <w:r>
        <w:t xml:space="preserve">Thank you for instructing Whitfield Carter LLP (“we”, “us”, “our” or the “Firm”) to act for Thornbury Properties Limited (“Thornbury”, “you” or the “Client”) in connection with the proposed acquisition of the freehold interest in Kingsgate House, 14–18 Farringdon Road, London EC1M 3HE (the “Property”) from Belvedere Estates Limited (the “Seller”). This letter, together with our enclosed standard terms of business (the “Standard Terms”), forms the contract between us and sets out the basis on which we will act. Please read both documents carefully. Where there is any conflict between this letter and the Standard Terms, this letter prevails.</w:t>
      </w:r>
    </w:p>
    <w:p>
      <w:pPr>
        <w:pStyle w:val="Heading2"/>
      </w:pPr>
      <w:r>
        <w:t xml:space="preserve">1.  Scope of our work</w:t>
      </w:r>
    </w:p>
    <w:p>
      <w:pPr>
        <w:spacing w:after="120" w:before="0" w:line="276"/>
      </w:pPr>
      <w:r>
        <w:t xml:space="preserve">Our instructions are to advise on and carry the acquisition through to completion and post-completion registration. In particular we will:</w:t>
      </w:r>
    </w:p>
    <w:p>
      <w:pPr>
        <w:pStyle w:val="ListParagraph"/>
        <w:numPr>
          <w:ilvl w:val="0"/>
          <w:numId w:val="2"/>
        </w:numPr>
        <w:spacing w:after="80" w:line="276"/>
      </w:pPr>
      <w:r>
        <w:t xml:space="preserve">investigate and report to you on title to the Property, including the registered title at HM Land Registry under title number NGL482190, and review the Seller’s replies to enquiries, the searches and the planning position;</w:t>
      </w:r>
    </w:p>
    <w:p>
      <w:pPr>
        <w:pStyle w:val="ListParagraph"/>
        <w:numPr>
          <w:ilvl w:val="0"/>
          <w:numId w:val="2"/>
        </w:numPr>
        <w:spacing w:after="80" w:line="276"/>
      </w:pPr>
      <w:r>
        <w:t xml:space="preserve">raise and review Commercial Property Standard Enquiries (CPSE.1 and any supplemental enquiries appropriate to a tenanted investment), and commission and review the usual pre-contract searches (local, drainage and water, environmental, chancel and the Land Registry priority search);</w:t>
      </w:r>
    </w:p>
    <w:p>
      <w:pPr>
        <w:pStyle w:val="ListParagraph"/>
        <w:numPr>
          <w:ilvl w:val="0"/>
          <w:numId w:val="2"/>
        </w:numPr>
        <w:spacing w:after="80" w:line="276"/>
      </w:pPr>
      <w:r>
        <w:t xml:space="preserve">review and negotiate the sale contract, the transfer (Form TR1) and any ancillary documents (including any rent deposit deeds, licences and the apportionment of rents and outgoings) to exchange and completion;</w:t>
      </w:r>
    </w:p>
    <w:p>
      <w:pPr>
        <w:pStyle w:val="ListParagraph"/>
        <w:numPr>
          <w:ilvl w:val="0"/>
          <w:numId w:val="2"/>
        </w:numPr>
        <w:spacing w:after="80" w:line="276"/>
      </w:pPr>
      <w:r>
        <w:t xml:space="preserve">advise on the existing occupational tenancies and the tenancy schedule, and report on any matters affecting the income or value of the investment;</w:t>
      </w:r>
    </w:p>
    <w:p>
      <w:pPr>
        <w:pStyle w:val="ListParagraph"/>
        <w:numPr>
          <w:ilvl w:val="0"/>
          <w:numId w:val="2"/>
        </w:numPr>
        <w:spacing w:after="80" w:line="276"/>
      </w:pPr>
      <w:r>
        <w:t xml:space="preserve">prepare the completion statement, deal with the funds flow and the discharge of the deposit, and attend to completion; and</w:t>
      </w:r>
    </w:p>
    <w:p>
      <w:pPr>
        <w:pStyle w:val="ListParagraph"/>
        <w:numPr>
          <w:ilvl w:val="0"/>
          <w:numId w:val="2"/>
        </w:numPr>
        <w:spacing w:after="80" w:line="276"/>
      </w:pPr>
      <w:r>
        <w:t xml:space="preserve">attend to post-completion matters, including submission of the Stamp Duty Land Tax (“SDLT”) return and payment of SDLT, and registration of the transfer at HM Land Registry.</w:t>
      </w:r>
    </w:p>
    <w:p>
      <w:pPr>
        <w:spacing w:after="120" w:before="0" w:line="276"/>
      </w:pPr>
      <w:r>
        <w:t xml:space="preserve">Our work does not include advising on the commercial merits of the acquisition, the valuation of the Property, structural or environmental survey matters, or your tax position beyond SDLT, unless we separately agree to do so in writing. We will assume, unless told otherwise, that the acquisition is to be made by Thornbury Properties Limited as principal and not as nominee or trustee.</w:t>
      </w:r>
    </w:p>
    <w:p>
      <w:pPr>
        <w:pStyle w:val="Heading2"/>
      </w:pPr>
      <w:r>
        <w:t xml:space="preserve">2.  Your objectives and timetable</w:t>
      </w:r>
    </w:p>
    <w:p>
      <w:pPr>
        <w:spacing w:after="120" w:before="0" w:line="276"/>
      </w:pPr>
      <w:r>
        <w:t xml:space="preserve">We understand that you wish to exchange contracts during April 2026 and to complete by mid-May 2026, subject to satisfactory due diligence and the approval of your board. The transaction is being treated as confidential and is referred to between us as “Project Redwood”. We will work to that timetable but it depends on the Seller and its solicitors, Marlowe Greaves LLP, and on third parties such as the local authority and search providers. We will keep you informed of progress and of any matters likely to affect the timetable.</w:t>
      </w:r>
    </w:p>
    <w:p>
      <w:pPr>
        <w:pStyle w:val="Heading2"/>
      </w:pPr>
      <w:r>
        <w:t xml:space="preserve">3.  The team and our reference</w:t>
      </w:r>
    </w:p>
    <w:p>
      <w:pPr>
        <w:spacing w:after="120" w:before="0" w:line="276"/>
      </w:pPr>
      <w:r>
        <w:t xml:space="preserve">Sarah Whitfield (Partner) has overall responsibility for this matter and supervises the team. The day-to-day conduct of the matter will be handled by James Osei (Senior Associate) and Elena Marchetti (Associate). You may contact any member of the team, but James Osei will ordinarily be your principal point of contact. Our reference for the matter is WC-00108 and should be quoted on all correspondence. If at any time you are unhappy with any member of the team or the way the matter is being handled, please raise it with Sarah Whitfield in the first instance.</w:t>
      </w:r>
    </w:p>
    <w:p>
      <w:pPr>
        <w:pStyle w:val="Heading2"/>
      </w:pPr>
      <w:r>
        <w:t xml:space="preserve">4.  Our fees and disbursements</w:t>
      </w:r>
    </w:p>
    <w:p>
      <w:pPr>
        <w:spacing w:after="120" w:before="0" w:line="276"/>
      </w:pPr>
      <w:r>
        <w:t xml:space="preserve">We estimate our professional fees for the work described in section 1 at between £28,000 and £34,000 (excluding VAT and disbursements), based on our current hourly rates and our present understanding of the transaction. This is an estimate and not a fixed quotation; if the matter becomes more complex or protracted (for example if the title proves defective, if the tenancy arrangements require restructuring, or if the transaction is delayed or aborted) our fees may exceed the estimate, in which case we will tell you and agree a revised estimate before incurring material additional cost. The current hourly rates (excluding VAT) of those likely to work on the matter are set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pPr>
              <w:spacing w:after="0" w:line="264"/>
            </w:pPr>
            <w:r>
              <w:rPr>
                <w:b/>
                <w:bCs/>
                <w:color w:val="FFFFFF"/>
                <w:sz w:val="20"/>
                <w:szCs w:val="20"/>
              </w:rPr>
              <w:t xml:space="preserve">Fee earner</w:t>
            </w:r>
          </w:p>
        </w:tc>
        <w:tc>
          <w:tcPr>
            <w:tcW w:type="dxa" w:w="2256"/>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pPr>
              <w:spacing w:after="0" w:line="264"/>
            </w:pPr>
            <w:r>
              <w:rPr>
                <w:b/>
                <w:bCs/>
                <w:color w:val="FFFFFF"/>
                <w:sz w:val="20"/>
                <w:szCs w:val="20"/>
              </w:rPr>
              <w:t xml:space="preserve">Position</w:t>
            </w:r>
          </w:p>
        </w:tc>
        <w:tc>
          <w:tcPr>
            <w:tcW w:type="dxa" w:w="2257"/>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pPr>
              <w:spacing w:after="0" w:line="264"/>
            </w:pPr>
            <w:r>
              <w:rPr>
                <w:b/>
                <w:bCs/>
                <w:color w:val="FFFFFF"/>
                <w:sz w:val="20"/>
                <w:szCs w:val="20"/>
              </w:rPr>
              <w:t xml:space="preserve">Rate (£/hr)</w:t>
            </w:r>
          </w:p>
        </w:tc>
      </w:tr>
      <w:tr>
        <w:tc>
          <w:tcPr>
            <w:tcW w:type="dxa" w:w="4513"/>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Sarah Whitfield</w:t>
            </w:r>
          </w:p>
        </w:tc>
        <w:tc>
          <w:tcPr>
            <w:tcW w:type="dxa" w:w="225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Partner</w:t>
            </w:r>
          </w:p>
        </w:tc>
        <w:tc>
          <w:tcPr>
            <w:tcW w:type="dxa" w:w="2257"/>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620</w:t>
            </w:r>
          </w:p>
        </w:tc>
      </w:tr>
      <w:tr>
        <w:tc>
          <w:tcPr>
            <w:tcW w:type="dxa" w:w="4513"/>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James Osei</w:t>
            </w:r>
          </w:p>
        </w:tc>
        <w:tc>
          <w:tcPr>
            <w:tcW w:type="dxa" w:w="225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Senior Associate</w:t>
            </w:r>
          </w:p>
        </w:tc>
        <w:tc>
          <w:tcPr>
            <w:tcW w:type="dxa" w:w="2257"/>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430</w:t>
            </w:r>
          </w:p>
        </w:tc>
      </w:tr>
      <w:tr>
        <w:tc>
          <w:tcPr>
            <w:tcW w:type="dxa" w:w="4513"/>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Elena Marchetti</w:t>
            </w:r>
          </w:p>
        </w:tc>
        <w:tc>
          <w:tcPr>
            <w:tcW w:type="dxa" w:w="225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Associate</w:t>
            </w:r>
          </w:p>
        </w:tc>
        <w:tc>
          <w:tcPr>
            <w:tcW w:type="dxa" w:w="2257"/>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sz w:val="20"/>
                <w:szCs w:val="20"/>
              </w:rPr>
              <w:t xml:space="preserve">305</w:t>
            </w:r>
          </w:p>
        </w:tc>
      </w:tr>
    </w:tbl>
    <w:p>
      <w:pPr>
        <w:spacing w:after="60" w:before="0" w:line="276"/>
      </w:pPr>
      <w:r>
        <w:t xml:space="preserve"/>
      </w:r>
    </w:p>
    <w:p>
      <w:pPr>
        <w:spacing w:after="120" w:before="0" w:line="276"/>
      </w:pPr>
      <w:r>
        <w:t xml:space="preserve">In addition to our fees you will be responsible for disbursements (expenses we incur on your behalf), which on this matter are likely to include search fees (in the region of £350–£600), HM Land Registry priority search and office copy fees, the HM Land Registry registration fee (£1,105 for a transfer of this value), bank transfer (CHAPS) fees, and SDLT of £914,500 payable to HMRC. VAT at the prevailing rate (currently 20%) will be added to our fees and to those disbursements that are subject to it. We will normally request funds on account of disbursements before incurring them.</w:t>
      </w:r>
    </w:p>
    <w:p>
      <w:pPr>
        <w:pStyle w:val="Heading2"/>
      </w:pPr>
      <w:r>
        <w:t xml:space="preserve">5.  Billing</w:t>
      </w:r>
    </w:p>
    <w:p>
      <w:pPr>
        <w:spacing w:after="120" w:before="0" w:line="276"/>
      </w:pPr>
      <w:r>
        <w:t xml:space="preserve">We will deliver interim invoices monthly, or at appropriate stages of the matter, and a final invoice on completion. Our invoices are payable within 14 days of delivery. We may require payment of, or money on account towards, SDLT and the completion monies in cleared funds before completion. Interest may be charged on overdue invoices in accordance with the Standard Terms. We are required by law to verify the source of any funds you provide and may ask you for evidence of the source of the completion monies.</w:t>
      </w:r>
    </w:p>
    <w:p>
      <w:pPr>
        <w:pStyle w:val="Heading2"/>
      </w:pPr>
      <w:r>
        <w:t xml:space="preserve">6.  Anti-money-laundering and identity verification</w:t>
      </w:r>
    </w:p>
    <w:p>
      <w:pPr>
        <w:spacing w:after="120" w:before="0" w:line="276"/>
      </w:pPr>
      <w:r>
        <w:t xml:space="preserve">We are required to comply with the Money Laundering, Terrorist Financing and Transfer of Funds (Information on the Payer) Regulations 2017 and related guidance. Before we can proceed we must verify the identity of the Client and its beneficial owners and controllers. We will write to you separately about the information and documents we need. We cannot release any funds or complete the transaction until our identity and source-of-funds checks are complete.</w:t>
      </w:r>
    </w:p>
    <w:p>
      <w:pPr>
        <w:pStyle w:val="Heading2"/>
      </w:pPr>
      <w:r>
        <w:t xml:space="preserve">7.  Conflicts of interest and confidentiality</w:t>
      </w:r>
    </w:p>
    <w:p>
      <w:pPr>
        <w:spacing w:after="120" w:before="0" w:line="276"/>
      </w:pPr>
      <w:r>
        <w:t xml:space="preserve">We have carried out a conflict check and are not aware of any conflict of interest that would prevent us acting for you on this matter. If a conflict arises we will tell you promptly and discuss how to deal with it. We will keep your affairs confidential in accordance with our professional obligations and the Standard Terms, save where disclosure is required by law or regulation or is necessary to act for you.</w:t>
      </w:r>
    </w:p>
    <w:p>
      <w:pPr>
        <w:pStyle w:val="Heading2"/>
      </w:pPr>
      <w:r>
        <w:t xml:space="preserve">8.  Data protection</w:t>
      </w:r>
    </w:p>
    <w:p>
      <w:pPr>
        <w:spacing w:after="120" w:before="0" w:line="276"/>
      </w:pPr>
      <w:r>
        <w:t xml:space="preserve">We process personal data in accordance with the UK GDPR and the Data Protection Act 2018. Our privacy notice, which explains how we use personal data, is available on our website and on request. We will use the personal data you provide to act for you on this matter and to comply with our legal and regulatory obligations.</w:t>
      </w:r>
    </w:p>
    <w:p>
      <w:pPr>
        <w:pStyle w:val="Heading2"/>
      </w:pPr>
      <w:r>
        <w:t xml:space="preserve">9.  Limitation of liability</w:t>
      </w:r>
    </w:p>
    <w:p>
      <w:pPr>
        <w:spacing w:after="120" w:before="0" w:line="276"/>
      </w:pPr>
      <w:r>
        <w:t xml:space="preserve">Our aggregate liability to you arising out of or in connection with this engagement, whether in contract, tort (including negligence), breach of statutory duty or otherwise, is limited to £3,000,000, save in respect of liability which cannot lawfully be limited or excluded (such as liability for death or personal injury caused by our negligence, or for fraud). This limit, and the other terms governing our liability, are set out more fully in the Standard Terms. We maintain professional indemnity insurance in accordance with the requirements of the Solicitors Regulation Authority.</w:t>
      </w:r>
    </w:p>
    <w:p>
      <w:pPr>
        <w:pStyle w:val="Heading2"/>
      </w:pPr>
      <w:r>
        <w:t xml:space="preserve">10.  Regulatory information and complaints</w:t>
      </w:r>
    </w:p>
    <w:p>
      <w:pPr>
        <w:spacing w:after="120" w:before="0" w:line="276"/>
      </w:pPr>
      <w:r>
        <w:t xml:space="preserve">Whitfield Carter LLP is a limited liability partnership authorised and regulated by the Solicitors Regulation Authority (SRA number 512347). We are committed to providing a high-quality service. If you are dissatisfied with any aspect of our service or our bill you may complain; our complaints procedure is set out in the Standard Terms and a copy is available on request. If we are unable to resolve your complaint you may be entitled to refer it to the Legal Ombudsman.</w:t>
      </w:r>
    </w:p>
    <w:p>
      <w:pPr>
        <w:pStyle w:val="Heading2"/>
      </w:pPr>
      <w:r>
        <w:t xml:space="preserve">11.  Termination</w:t>
      </w:r>
    </w:p>
    <w:p>
      <w:pPr>
        <w:spacing w:after="120" w:before="0" w:line="276"/>
      </w:pPr>
      <w:r>
        <w:t xml:space="preserve">You may end our engagement at any time by giving us written notice. We may stop acting for you only with good reason (for example if you do not provide instructions or funds we reasonably need, or if continuing to act would breach our professional obligations) and on reasonable notice. If our engagement ends you remain liable for our fees and disbursements incurred up to that point and for work necessary to transfer the matter to new advisers.</w:t>
      </w:r>
    </w:p>
    <w:p>
      <w:pPr>
        <w:pStyle w:val="Heading2"/>
      </w:pPr>
      <w:r>
        <w:t xml:space="preserve">12.  Acceptance</w:t>
      </w:r>
    </w:p>
    <w:p>
      <w:pPr>
        <w:spacing w:after="120" w:before="0" w:line="276"/>
      </w:pPr>
      <w:r>
        <w:t xml:space="preserve">Please confirm your agreement to the terms of this letter and the enclosed Standard Terms by signing and returning the enclosed copy, or by emailing your acceptance to James Osei. We will treat your continued instructions as acceptance of these terms even if the signed copy is not returned. If anything in this letter or the Standard Terms is unclear, please do not hesitate to contact me or James.</w:t>
      </w:r>
    </w:p>
    <w:p>
      <w:pPr>
        <w:spacing w:after="120" w:before="120" w:line="276"/>
      </w:pPr>
      <w:r>
        <w:t xml:space="preserve">We are very pleased to be acting for Thornbury Properties on this acquisition and look forward to working with you.</w:t>
      </w:r>
    </w:p>
    <w:p>
      <w:pPr>
        <w:spacing w:after="240" w:before="0" w:line="276"/>
      </w:pPr>
      <w:r>
        <w:t xml:space="preserve">Yours sincerely</w:t>
      </w:r>
    </w:p>
    <w:p>
      <w:pPr>
        <w:spacing w:after="0" w:before="0" w:line="276"/>
      </w:pPr>
      <w:r>
        <w:t xml:space="preserve">Sarah Whitfield</w:t>
      </w:r>
    </w:p>
    <w:p>
      <w:pPr>
        <w:spacing w:after="0" w:before="0" w:line="276"/>
      </w:pPr>
      <w:r>
        <w:t xml:space="preserve">Partner, for and on behalf of Whitfield Carter LLP</w:t>
      </w:r>
    </w:p>
    <w:p>
      <w:pPr>
        <w:spacing w:after="240" w:before="0" w:line="276"/>
      </w:pPr>
      <w:r>
        <w:t xml:space="preserve">sarah.whitfield@whitfieldcarter.com  ·  +44 (0)20 7946 0021</w:t>
      </w:r>
    </w:p>
    <w:p>
      <w:pPr>
        <w:spacing w:after="0" w:before="0" w:line="276"/>
      </w:pPr>
      <w:r>
        <w:rPr>
          <w:i/>
          <w:iCs/>
        </w:rPr>
        <w:t xml:space="preserve">Enc.  Standard terms of business</w:t>
      </w:r>
    </w:p>
    <w:p>
      <w:pPr>
        <w:pBdr>
          <w:top w:val="single" w:color="888888" w:sz="4" w:space="4"/>
        </w:pBdr>
        <w:spacing w:after="120" w:before="360"/>
      </w:pPr>
      <w:r>
        <w:rPr>
          <w:b/>
          <w:bCs/>
        </w:rPr>
        <w:t xml:space="preserve">Acknowledgement and acceptance</w:t>
      </w:r>
    </w:p>
    <w:p>
      <w:pPr>
        <w:spacing w:after="120" w:before="0" w:line="276"/>
      </w:pPr>
      <w:r>
        <w:t xml:space="preserve">I confirm, for and on behalf of Thornbury Properties Limited, that I have read and accept the terms of this engagement letter and the enclosed standard terms of business.</w:t>
      </w:r>
    </w:p>
    <w:p>
      <w:pPr>
        <w:spacing w:after="120" w:before="120" w:line="276"/>
      </w:pPr>
      <w:r>
        <w:t xml:space="preserve">Signed: ......................................................   Date: .........................</w:t>
      </w:r>
    </w:p>
    <w:p>
      <w:pPr>
        <w:spacing w:after="120" w:before="0" w:line="276"/>
      </w:pPr>
      <w:r>
        <w:t xml:space="preserve">Name:  Daniel Quigley</w:t>
      </w:r>
    </w:p>
    <w:p>
      <w:pPr>
        <w:spacing w:after="120" w:before="0" w:line="276"/>
      </w:pPr>
      <w:r>
        <w:t xml:space="preserve">Position:  Managing Director, Thornbury Properties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60"/>
      <w:jc w:val="center"/>
    </w:pPr>
    <w:r>
      <w:rPr>
        <w:sz w:val="16"/>
        <w:szCs w:val="16"/>
      </w:rPr>
      <w:t xml:space="preserve">Whitfield Carter LLP — WC-00108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0"/>
        <w:szCs w:val="20"/>
      </w:rPr>
      <w:t xml:space="preserve">Whitfield Carter LLP</w:t>
    </w:r>
  </w:p>
  <w:p>
    <w:pPr>
      <w:pBdr>
        <w:bottom w:val="single" w:color="1F3864" w:sz="6" w:space="2"/>
      </w:pBdr>
      <w:spacing w:after="40"/>
      <w:jc w:val="right"/>
    </w:pPr>
    <w:r>
      <w:rPr>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2026-06-10T22:38:14.705Z</dcterms:created>
  <dcterms:modified xsi:type="dcterms:W3CDTF">2026-06-10T22:38:14.705Z</dcterms:modified>
</cp:coreProperties>
</file>

<file path=docProps/custom.xml><?xml version="1.0" encoding="utf-8"?>
<Properties xmlns="http://schemas.openxmlformats.org/officeDocument/2006/custom-properties" xmlns:vt="http://schemas.openxmlformats.org/officeDocument/2006/docPropsVTypes"/>
</file>