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rPr>
        <w:t xml:space="preserve">SUBJECT TO CONTRACT  ·  WITHOUT PREJUDICE</w:t>
      </w:r>
    </w:p>
    <w:p>
      <w:pPr>
        <w:spacing w:after="60" w:before="0" w:line="276"/>
        <w:jc w:val="center"/>
      </w:pPr>
      <w:r>
        <w:rPr>
          <w:b/>
          <w:bCs/>
          <w:sz w:val="30"/>
          <w:szCs w:val="30"/>
        </w:rPr>
        <w:t xml:space="preserve">HEADS OF TERMS</w:t>
      </w:r>
    </w:p>
    <w:p>
      <w:pPr>
        <w:spacing w:after="60" w:before="0" w:line="276"/>
        <w:jc w:val="center"/>
      </w:pPr>
      <w:r>
        <w:rPr>
          <w:b/>
          <w:bCs/>
        </w:rPr>
        <w:t xml:space="preserve">Project Redwood — Acquisition of the freehold of Kingsgate House, 14–18 Farringdon Road, London EC1M 3HE</w:t>
      </w:r>
    </w:p>
    <w:p>
      <w:pPr>
        <w:spacing w:after="200" w:before="0" w:line="276"/>
        <w:jc w:val="center"/>
      </w:pPr>
      <w:r>
        <w:t xml:space="preserve">Dated 12 February 2026</w:t>
      </w:r>
    </w:p>
    <w:p>
      <w:pPr>
        <w:spacing w:after="120" w:before="0" w:line="276"/>
      </w:pPr>
      <w:r>
        <w:t xml:space="preserve">These heads of terms record the principal commercial terms provisionally agreed in principle between the parties in relation to the proposed sale and purchase of the Property. They are subject to contract and to the parties’ respective board approvals and satisfactory due diligence. Save for paragraphs 14 (Confidentiality), 15 (Exclusivity) and 17 (Costs), which are intended to be legally binding, these heads of terms do not give rise to, and are not intended to create, any legally binding obligation on either party. They are intended to form the basis of the formal documentation, which will supersede them on exchange of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pPr>
              <w:spacing w:after="0" w:line="264"/>
            </w:pPr>
            <w:r>
              <w:rPr>
                <w:b/>
                <w:bCs/>
                <w:color w:val="FFFFFF"/>
                <w:sz w:val="20"/>
                <w:szCs w:val="20"/>
              </w:rPr>
              <w:t xml:space="preserve">Item</w:t>
            </w:r>
          </w:p>
        </w:tc>
        <w:tc>
          <w:tcPr>
            <w:tcW w:type="dxa" w:w="6026"/>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pPr>
              <w:spacing w:after="0" w:line="264"/>
            </w:pPr>
            <w:r>
              <w:rPr>
                <w:b/>
                <w:bCs/>
                <w:color w:val="FFFFFF"/>
                <w:sz w:val="20"/>
                <w:szCs w:val="20"/>
              </w:rPr>
              <w:t xml:space="preserve">Agreed term</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  Property</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The freehold interest in Kingsgate House, 14–18 Farringdon Road, London EC1M 3HE, registered at HM Land Registry under title number NGL482190, comprising a refurbished office building of approximately 24,000 sq ft (net internal) arranged over ground and five upper floors, with ancillary retail at ground floor level, together with the benefit of the occupational tenancies.</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2.  Seller</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Belvedere Estates Limited (company number 06721540), registered office 120 Moorgate, London EC2M 6TX.</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3.  Buyer</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Thornbury Properties Limited (company number 09487123), registered office 8 Devonshire Square, London EC2M 4PL, or a wholly-owned group company to be nominated before exchange.</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4.  Interest sold</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Freehold, sold with full title guarantee, subject to and with the benefit of the existing occupational leases (the “Tenancies”) as set out in the agreed tenancy schedule.</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5.  Purchase price</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£18,500,000 (eighteen million five hundred thousand pounds), exclusive of VAT, payable in cash on completion. The price reflects a net initial yield of approximately 7.4% (gross) on the current passing rent before purchaser’s costs, or approximately 7.0% after costs.</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6.  Passing rent</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£1,362,200 per annum, payable quarterly in advance on the usual quarter days, in accordance with the agreed tenancy schedule comprising six occupational interests.</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7.  Deposit</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10% of the purchase price (£1,850,000), payable on exchange of contracts, to be held by the Seller’s solicitors as stakeholder pending completion.</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8.  VAT</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The Seller has opted to tax the Property. The parties will use reasonable endeavours to procure that the sale is treated as a transfer of a going concern (TOGC) and falls outside the scope of VAT; the Buyer will opt to tax and notify HMRC before completion and will give the necessary TOGC warranties.</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9.  Conditions of sale</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Standard Commercial Property Conditions (Third Edition – 2018 Revision), as varied by the special conditions to be agreed in the contract.</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10.  Title and due diligence</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Sale conditional on the Buyer being satisfied with the results of its title investigation, replies to CPSE enquiries, searches, and review of the Tenancies and the rent deposit arrangements. The Seller’s solicitors to provide a contract pack, including official copies, the tenancy documents and replies to CPSE.1 (and CPSE.2 where relevant).</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11.  Apportionments</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Rents and outgoings to be apportioned on completion on the basis that the Seller is entitled to income up to (but excluding) the completion date and the Buyer thereafter. Arrears of rent (if any) to be dealt with in the contract.</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12.  Rent deposits</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Any rent deposits held by the Seller under the Tenancies to be transferred to, or the benefit assigned to, the Buyer on completion, with the relevant rent deposit deeds novated or assigned.</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13.  Timetable</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Target exchange by mid-April 2026; target completion four weeks thereafter (by mid-May 2026), or earlier by agreement.</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14.  Confidentiality (binding)</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Each party will keep the existence and terms of the proposed transaction confidential and will not disclose them to any third party (other than its professional advisers, funders and group companies) without the other’s consent, save as required by law or regulation.</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15.  Exclusivity (binding)</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For a period of six weeks from the date of these heads of terms, the Seller will not solicit, negotiate or accept any offer from, or provide information to, any third party in respect of a disposal of the Property, and will deal exclusively with the Buyer.</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16.  Solicitors</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Seller: Marlowe Greaves LLP (Martin Greaves). Buyer: Whitfield Carter LLP (Sarah Whitfield / James Osei), reference WC-00108.</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17.  Costs (binding)</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Each party will bear its own professional and other costs in connection with the transaction, whether or not it proceeds to completion.</w:t>
            </w:r>
          </w:p>
        </w:tc>
      </w:tr>
      <w:tr>
        <w:tc>
          <w:tcPr>
            <w:tcW w:type="dxa" w:w="3000"/>
            <w:tcBorders>
              <w:top w:val="single" w:color="BBBBBB" w:sz="2"/>
              <w:left w:val="single" w:color="BBBBBB" w:sz="2"/>
              <w:bottom w:val="single" w:color="BBBBBB" w:sz="2"/>
              <w:right w:val="single" w:color="BBBBBB" w:sz="2"/>
            </w:tcBorders>
            <w:shd w:fill="EFEFEF" w:val="clear"/>
            <w:tcMar>
              <w:top w:type="dxa" w:w="60"/>
              <w:left w:type="dxa" w:w="120"/>
              <w:bottom w:type="dxa" w:w="60"/>
              <w:right w:type="dxa" w:w="120"/>
            </w:tcMar>
          </w:tcPr>
          <w:p>
            <w:pPr>
              <w:spacing w:after="0" w:line="264"/>
            </w:pPr>
            <w:r>
              <w:rPr>
                <w:b/>
                <w:bCs/>
                <w:sz w:val="20"/>
                <w:szCs w:val="20"/>
              </w:rPr>
              <w:t xml:space="preserve">18.  Governing law</w:t>
            </w:r>
          </w:p>
        </w:tc>
        <w:tc>
          <w:tcPr>
            <w:tcW w:type="dxa" w:w="6026"/>
            <w:tcBorders>
              <w:top w:val="single" w:color="BBBBBB" w:sz="2"/>
              <w:left w:val="single" w:color="BBBBBB" w:sz="2"/>
              <w:bottom w:val="single" w:color="BBBBBB" w:sz="2"/>
              <w:right w:val="single" w:color="BBBBBB" w:sz="2"/>
            </w:tcBorders>
            <w:tcMar>
              <w:top w:type="dxa" w:w="60"/>
              <w:left w:type="dxa" w:w="120"/>
              <w:bottom w:type="dxa" w:w="60"/>
              <w:right w:type="dxa" w:w="120"/>
            </w:tcMar>
          </w:tcPr>
          <w:p>
            <w:pPr>
              <w:spacing w:after="0" w:line="264"/>
            </w:pPr>
            <w:r>
              <w:rPr>
                <w:b w:val="false"/>
                <w:bCs w:val="false"/>
                <w:sz w:val="20"/>
                <w:szCs w:val="20"/>
              </w:rPr>
              <w:t xml:space="preserve">These heads of terms and the proposed transaction are governed by the law of England and Wales.</w:t>
            </w:r>
          </w:p>
        </w:tc>
      </w:tr>
    </w:tbl>
    <w:p>
      <w:pPr>
        <w:spacing w:after="40" w:before="0" w:line="276"/>
      </w:pPr>
      <w:r>
        <w:t xml:space="preserve"/>
      </w:r>
    </w:p>
    <w:p>
      <w:pPr>
        <w:spacing w:after="200" w:before="120" w:line="276"/>
      </w:pPr>
      <w:r>
        <w:t xml:space="preserve">Agreed in principle, subject to contract:</w:t>
      </w:r>
    </w:p>
    <w:p>
      <w:pPr>
        <w:spacing w:after="120" w:before="0" w:line="276"/>
      </w:pPr>
      <w:r>
        <w:t xml:space="preserve">For and on behalf of Belvedere Estates Limited (Seller)</w:t>
      </w:r>
    </w:p>
    <w:p>
      <w:pPr>
        <w:spacing w:after="160" w:before="0" w:line="276"/>
      </w:pPr>
      <w:r>
        <w:t xml:space="preserve">Name: Alan Novak    Signature: ..............................    Date: ....................</w:t>
      </w:r>
    </w:p>
    <w:p>
      <w:pPr>
        <w:spacing w:after="120" w:before="0" w:line="276"/>
      </w:pPr>
      <w:r>
        <w:t xml:space="preserve">For and on behalf of Thornbury Properties Limited (Buyer)</w:t>
      </w:r>
    </w:p>
    <w:p>
      <w:pPr>
        <w:spacing w:after="0" w:before="0" w:line="276"/>
      </w:pPr>
      <w:r>
        <w:t xml:space="preserve">Name: Daniel Quigley    Signature: ..............................    Date: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jc w:val="center"/>
    </w:pPr>
    <w:r>
      <w:rPr>
        <w:sz w:val="16"/>
        <w:szCs w:val="16"/>
      </w:rPr>
      <w:t xml:space="preserve">Project Redwood — Heads of Terms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0"/>
        <w:szCs w:val="20"/>
      </w:rPr>
      <w:t xml:space="preserve">Whitfield Carter LLP</w:t>
    </w:r>
  </w:p>
  <w:p>
    <w:pPr>
      <w:pBdr>
        <w:bottom w:val="single" w:color="1F3864" w:sz="6" w:space="2"/>
      </w:pBdr>
      <w:spacing w:after="40"/>
      <w:jc w:val="right"/>
    </w:pPr>
    <w:r>
      <w:rPr>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2026-06-10T22:51:12.306Z</dcterms:created>
  <dcterms:modified xsi:type="dcterms:W3CDTF">2026-06-10T22:51:12.306Z</dcterms:modified>
</cp:coreProperties>
</file>

<file path=docProps/custom.xml><?xml version="1.0" encoding="utf-8"?>
<Properties xmlns="http://schemas.openxmlformats.org/officeDocument/2006/custom-properties" xmlns:vt="http://schemas.openxmlformats.org/officeDocument/2006/docPropsVTypes"/>
</file>