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CPSE.1 (version 3.8)</w:t>
      </w:r>
    </w:p>
    <w:p>
      <w:pPr>
        <w:spacing w:after="60"/>
        <w:jc w:val="center"/>
      </w:pPr>
      <w:r>
        <w:rPr>
          <w:b/>
          <w:bCs/>
        </w:rPr>
        <w:t xml:space="preserve">General pre-contract enquiries for all property transactions — REPLIES</w:t>
      </w:r>
    </w:p>
    <w:p>
      <w:pPr>
        <w:spacing w:after="200"/>
        <w:jc w:val="center"/>
      </w:pPr>
      <w:r>
        <w:rPr>
          <w:i/>
          <w:iCs/>
        </w:rPr>
        <w:t xml:space="preserve">Property: Sable House, 40 Deansgate, Manchester M3 2AY  |  Title: GM921044</w:t>
      </w:r>
    </w:p>
    <w:p>
      <w:pPr>
        <w:spacing w:after="200"/>
      </w:pPr>
      <w:r>
        <w:rPr>
          <w:i/>
          <w:iCs/>
          <w:sz w:val="18"/>
          <w:szCs w:val="18"/>
        </w:rPr>
        <w:t xml:space="preserve">These replies are given by Calder Whitmore LLP on behalf of the Seller, Ardent Property Holdings Limited. They are given in good faith and without liability on the part of the firm. The Seller does not give any warranty as to the accuracy of the replies save as expressly stated and the Buyer should rely on its own searches, surveys and inspections.</w:t>
      </w:r>
    </w:p>
    <w:p>
      <w:pPr>
        <w:pStyle w:val="Heading2"/>
      </w:pPr>
      <w:r>
        <w:t xml:space="preserve">1. Boundaries and extent</w:t>
      </w:r>
    </w:p>
    <w:p>
      <w:pPr>
        <w:spacing w:after="40"/>
      </w:pPr>
      <w:r>
        <w:rPr>
          <w:b/>
          <w:bCs/>
        </w:rPr>
        <w:t xml:space="preserve">1.1 Please confirm the extent of the Property.</w:t>
      </w:r>
    </w:p>
    <w:p>
      <w:pPr>
        <w:spacing w:after="120"/>
      </w:pPr>
      <w:r>
        <w:t xml:space="preserve">Reply: </w:t>
      </w:r>
      <w:r>
        <w:t xml:space="preserve">The Property comprises the registered title GM921044 as shown edged red on the title plan supplied. The Seller is not aware of any discrepancy between the legal and physical boundaries.</w:t>
      </w:r>
    </w:p>
    <w:p>
      <w:pPr>
        <w:spacing w:after="40"/>
      </w:pPr>
      <w:r>
        <w:rPr>
          <w:b/>
          <w:bCs/>
        </w:rPr>
        <w:t xml:space="preserve">1.2 Who owns and maintains the boundary features?</w:t>
      </w:r>
    </w:p>
    <w:p>
      <w:pPr>
        <w:spacing w:after="120"/>
      </w:pPr>
      <w:r>
        <w:t xml:space="preserve">Reply: </w:t>
      </w:r>
      <w:r>
        <w:t xml:space="preserve">The Seller is not aware of any express obligation. Boundary maintenance has by convention followed the “T” marks on the title plan.</w:t>
      </w:r>
    </w:p>
    <w:p>
      <w:pPr>
        <w:pStyle w:val="Heading2"/>
      </w:pPr>
      <w:r>
        <w:t xml:space="preserve">2. Party walls</w:t>
      </w:r>
    </w:p>
    <w:p>
      <w:pPr>
        <w:spacing w:after="40"/>
      </w:pPr>
      <w:r>
        <w:rPr>
          <w:b/>
          <w:bCs/>
        </w:rPr>
        <w:t xml:space="preserve">2.1 Is the Seller aware of any party wall matters?</w:t>
      </w:r>
    </w:p>
    <w:p>
      <w:pPr>
        <w:spacing w:after="120"/>
      </w:pPr>
      <w:r>
        <w:t xml:space="preserve">Reply: </w:t>
      </w:r>
      <w:r>
        <w:t xml:space="preserve">The flank wall to the north-east adjoins 38 Deansgate. The Seller is not aware of any current party wall award or dispute.</w:t>
      </w:r>
    </w:p>
    <w:p>
      <w:pPr>
        <w:pStyle w:val="Heading2"/>
      </w:pPr>
      <w:r>
        <w:t xml:space="preserve">3. Rights and informal arrangements</w:t>
      </w:r>
    </w:p>
    <w:p>
      <w:pPr>
        <w:spacing w:after="40"/>
      </w:pPr>
      <w:r>
        <w:rPr>
          <w:b/>
          <w:bCs/>
        </w:rPr>
        <w:t xml:space="preserve">3.1 Please give details of any rights enjoyed or informal arrangements.</w:t>
      </w:r>
    </w:p>
    <w:p>
      <w:pPr>
        <w:spacing w:after="120"/>
      </w:pPr>
      <w:r>
        <w:t xml:space="preserve">Reply: </w:t>
      </w:r>
      <w:r>
        <w:t xml:space="preserve">The Property benefits from the rights granted by the registered title, including rights of support and shared use of the service yard to the rear under a deed dated 14 May 2007 (copy supplied). There are no informal arrangements of which the Seller is aware.</w:t>
      </w:r>
    </w:p>
    <w:p>
      <w:pPr>
        <w:pStyle w:val="Heading2"/>
      </w:pPr>
      <w:r>
        <w:t xml:space="preserve">4. Adverse rights</w:t>
      </w:r>
    </w:p>
    <w:p>
      <w:pPr>
        <w:spacing w:after="40"/>
      </w:pPr>
      <w:r>
        <w:rPr>
          <w:b/>
          <w:bCs/>
        </w:rPr>
        <w:t xml:space="preserve">4.1 Is the Seller aware of any adverse rights affecting the Property?</w:t>
      </w:r>
    </w:p>
    <w:p>
      <w:pPr>
        <w:spacing w:after="120"/>
      </w:pPr>
      <w:r>
        <w:t xml:space="preserve">Reply: </w:t>
      </w:r>
      <w:r>
        <w:t xml:space="preserve">Other than the matters disclosed in the registers and the Leases, the Seller is not aware of any adverse rights, easements or third party claims.</w:t>
      </w:r>
    </w:p>
    <w:p>
      <w:pPr>
        <w:pStyle w:val="Heading2"/>
      </w:pPr>
      <w:r>
        <w:t xml:space="preserve">5. Disputes</w:t>
      </w:r>
    </w:p>
    <w:p>
      <w:pPr>
        <w:spacing w:after="40"/>
      </w:pPr>
      <w:r>
        <w:rPr>
          <w:b/>
          <w:bCs/>
        </w:rPr>
        <w:t xml:space="preserve">5.1 Are there any disputes relating to the Property?</w:t>
      </w:r>
    </w:p>
    <w:p>
      <w:pPr>
        <w:spacing w:after="120"/>
      </w:pPr>
      <w:r>
        <w:t xml:space="preserve">Reply: </w:t>
      </w:r>
      <w:r>
        <w:t xml:space="preserve">There is an outstanding service charge query raised by the tenant of the first floor (Pennine Health Partners Ltd) regarding the apportionment of the 2024 lift refurbishment cost (approx. £18,400 in issue). Correspondence is supplied. There are no other disputes.</w:t>
      </w:r>
    </w:p>
    <w:p>
      <w:pPr>
        <w:pStyle w:val="Heading2"/>
      </w:pPr>
      <w:r>
        <w:t xml:space="preserve">6. Notices</w:t>
      </w:r>
    </w:p>
    <w:p>
      <w:pPr>
        <w:spacing w:after="40"/>
      </w:pPr>
      <w:r>
        <w:rPr>
          <w:b/>
          <w:bCs/>
        </w:rPr>
        <w:t xml:space="preserve">6.1 Please supply copies of any notices affecting the Property.</w:t>
      </w:r>
    </w:p>
    <w:p>
      <w:pPr>
        <w:spacing w:after="120"/>
      </w:pPr>
      <w:r>
        <w:t xml:space="preserve">Reply: </w:t>
      </w:r>
      <w:r>
        <w:t xml:space="preserve">A copy of a section 25 hostile notice is NOT applicable; no statutory notices have been served or received in the last three years other than routine rating correspondence.</w:t>
      </w:r>
    </w:p>
    <w:p>
      <w:pPr>
        <w:pStyle w:val="Heading2"/>
      </w:pPr>
      <w:r>
        <w:t xml:space="preserve">7. Physical condition</w:t>
      </w:r>
    </w:p>
    <w:p>
      <w:pPr>
        <w:spacing w:after="40"/>
      </w:pPr>
      <w:r>
        <w:rPr>
          <w:b/>
          <w:bCs/>
        </w:rPr>
        <w:t xml:space="preserve">7.1 Does the Property contain any deleterious materials?</w:t>
      </w:r>
    </w:p>
    <w:p>
      <w:pPr>
        <w:spacing w:after="120"/>
      </w:pPr>
      <w:r>
        <w:t xml:space="preserve">Reply: </w:t>
      </w:r>
      <w:r>
        <w:t xml:space="preserve">The Seller is not aware of the presence of any deleterious materials. An asbestos management survey dated March 2022 is supplied; it identifies asbestos-containing materials in the basement plant room which are managed in situ.</w:t>
      </w:r>
    </w:p>
    <w:p>
      <w:pPr>
        <w:spacing w:after="40"/>
      </w:pPr>
      <w:r>
        <w:rPr>
          <w:b/>
          <w:bCs/>
        </w:rPr>
        <w:t xml:space="preserve">7.2 Has there been any flooding?</w:t>
      </w:r>
    </w:p>
    <w:p>
      <w:pPr>
        <w:spacing w:after="120"/>
      </w:pPr>
      <w:r>
        <w:t xml:space="preserve">Reply: </w:t>
      </w:r>
      <w:r>
        <w:t xml:space="preserve">The Seller is not aware of any flooding affecting the Property.</w:t>
      </w:r>
    </w:p>
    <w:p>
      <w:pPr>
        <w:pStyle w:val="Heading2"/>
      </w:pPr>
      <w:r>
        <w:t xml:space="preserve">8. Services</w:t>
      </w:r>
    </w:p>
    <w:p>
      <w:pPr>
        <w:spacing w:after="40"/>
      </w:pPr>
      <w:r>
        <w:rPr>
          <w:b/>
          <w:bCs/>
        </w:rPr>
        <w:t xml:space="preserve">8.1 Please confirm the services connected to the Property.</w:t>
      </w:r>
    </w:p>
    <w:p>
      <w:pPr>
        <w:spacing w:after="120"/>
      </w:pPr>
      <w:r>
        <w:t xml:space="preserve">Reply: </w:t>
      </w:r>
      <w:r>
        <w:t xml:space="preserve">Mains water, drainage, electricity, gas and telecommunications are connected. The Seller is not aware of any service media crossing third party land otherwise than under the rights referred to in reply 3.1.</w:t>
      </w:r>
    </w:p>
    <w:p>
      <w:pPr>
        <w:pStyle w:val="Heading2"/>
      </w:pPr>
      <w:r>
        <w:t xml:space="preserve">9. Use and building regulations</w:t>
      </w:r>
    </w:p>
    <w:p>
      <w:pPr>
        <w:spacing w:after="40"/>
      </w:pPr>
      <w:r>
        <w:rPr>
          <w:b/>
          <w:bCs/>
        </w:rPr>
        <w:t xml:space="preserve">9.1 What is the current use?</w:t>
      </w:r>
    </w:p>
    <w:p>
      <w:pPr>
        <w:spacing w:after="120"/>
      </w:pPr>
      <w:r>
        <w:t xml:space="preserve">Reply: </w:t>
      </w:r>
      <w:r>
        <w:t xml:space="preserve">Offices (Use Class E) with ancillary retail at ground floor. The Seller is not aware of any breach of planning control or building regulations. Copies of the building regulation completion certificates for the 2019 reception refurbishment are supplied.</w:t>
      </w:r>
    </w:p>
    <w:p>
      <w:pPr>
        <w:pStyle w:val="Heading2"/>
      </w:pPr>
      <w:r>
        <w:t xml:space="preserve">10. Occupiers and employees</w:t>
      </w:r>
    </w:p>
    <w:p>
      <w:pPr>
        <w:spacing w:after="40"/>
      </w:pPr>
      <w:r>
        <w:rPr>
          <w:b/>
          <w:bCs/>
        </w:rPr>
        <w:t xml:space="preserve">10.1 Who is in occupation?</w:t>
      </w:r>
    </w:p>
    <w:p>
      <w:pPr>
        <w:spacing w:after="120"/>
      </w:pPr>
      <w:r>
        <w:t xml:space="preserve">Reply: </w:t>
      </w:r>
      <w:r>
        <w:t xml:space="preserve">The Property is occupied under the four Leases listed in the tenancy schedule. There are no other occupiers and no employees are employed at the Property.</w:t>
      </w:r>
    </w:p>
    <w:p>
      <w:pPr>
        <w:pStyle w:val="Heading2"/>
      </w:pPr>
      <w:r>
        <w:t xml:space="preserve">11. Tenancies</w:t>
      </w:r>
    </w:p>
    <w:p>
      <w:pPr>
        <w:spacing w:after="40"/>
      </w:pPr>
      <w:r>
        <w:rPr>
          <w:b/>
          <w:bCs/>
        </w:rPr>
        <w:t xml:space="preserve">11.1 Please supply copies of the Leases and confirm the rent position.</w:t>
      </w:r>
    </w:p>
    <w:p>
      <w:pPr>
        <w:spacing w:after="120"/>
      </w:pPr>
      <w:r>
        <w:t xml:space="preserve">Reply: </w:t>
      </w:r>
      <w:r>
        <w:t xml:space="preserve">Copies of the four Leases, licences for alterations and the rent deposit deed in respect of Northbridge Software Ltd (£121,500 held) are supplied. All rents are paid up to the September 2025 quarter save for the first-floor service charge item referred to in reply 5.1.</w:t>
      </w:r>
    </w:p>
    <w:p>
      <w:pPr>
        <w:pStyle w:val="Heading2"/>
      </w:pPr>
      <w:r>
        <w:t xml:space="preserve">12. VAT</w:t>
      </w:r>
    </w:p>
    <w:p>
      <w:pPr>
        <w:spacing w:after="40"/>
      </w:pPr>
      <w:r>
        <w:rPr>
          <w:b/>
          <w:bCs/>
        </w:rPr>
        <w:t xml:space="preserve">12.1 Has the Seller elected to waive exemption (opted to tax)?</w:t>
      </w:r>
    </w:p>
    <w:p>
      <w:pPr>
        <w:spacing w:after="120"/>
      </w:pPr>
      <w:r>
        <w:t xml:space="preserve">Reply: </w:t>
      </w:r>
      <w:r>
        <w:t xml:space="preserve">Yes. The Seller has opted to tax the Property and notified the option to HMRC with effect from 1 April 2014 (copy acknowledgement supplied). The sale is intended to be treated as a TOGC.</w:t>
      </w:r>
    </w:p>
    <w:p>
      <w:pPr>
        <w:pStyle w:val="Heading2"/>
      </w:pPr>
      <w:r>
        <w:t xml:space="preserve">13. Capital allowances</w:t>
      </w:r>
    </w:p>
    <w:p>
      <w:pPr>
        <w:spacing w:after="40"/>
      </w:pPr>
      <w:r>
        <w:rPr>
          <w:b/>
          <w:bCs/>
        </w:rPr>
        <w:t xml:space="preserve">13.1 Has the Seller claimed capital allowances?</w:t>
      </w:r>
    </w:p>
    <w:p>
      <w:pPr>
        <w:spacing w:after="120"/>
      </w:pPr>
      <w:r>
        <w:t xml:space="preserve">Reply: </w:t>
      </w:r>
      <w:r>
        <w:t xml:space="preserve">No capital allowances are being transferred and no section 198 CAA 2001 election is required.</w:t>
      </w:r>
    </w:p>
    <w:p>
      <w:pPr>
        <w:pStyle w:val="Heading2"/>
      </w:pPr>
      <w:r>
        <w:t xml:space="preserve">14. Insurance</w:t>
      </w:r>
    </w:p>
    <w:p>
      <w:pPr>
        <w:spacing w:after="40"/>
      </w:pPr>
      <w:r>
        <w:rPr>
          <w:b/>
          <w:bCs/>
        </w:rPr>
        <w:t xml:space="preserve">14.1 Please supply details of the buildings insurance.</w:t>
      </w:r>
    </w:p>
    <w:p>
      <w:pPr>
        <w:spacing w:after="120"/>
      </w:pPr>
      <w:r>
        <w:t xml:space="preserve">Reply: </w:t>
      </w:r>
      <w:r>
        <w:t xml:space="preserve">The Property is insured under the Seller’s block policy with Meridian Insurance plc; the current reinstatement value is £21,800,000. The Seller is not aware of any circumstances likely to give rise to a claim or any refusal to insure.</w:t>
      </w:r>
    </w:p>
    <w:p>
      <w:pPr>
        <w:pStyle w:val="Heading2"/>
      </w:pPr>
      <w:r>
        <w:t xml:space="preserve">15. Environmental</w:t>
      </w:r>
    </w:p>
    <w:p>
      <w:pPr>
        <w:spacing w:after="40"/>
      </w:pPr>
      <w:r>
        <w:rPr>
          <w:b/>
          <w:bCs/>
        </w:rPr>
        <w:t xml:space="preserve">15.1 Is the Seller aware of any environmental issues?</w:t>
      </w:r>
    </w:p>
    <w:p>
      <w:pPr>
        <w:spacing w:after="120"/>
      </w:pPr>
      <w:r>
        <w:t xml:space="preserve">Reply: </w:t>
      </w:r>
      <w:r>
        <w:t xml:space="preserve">Other than the managed asbestos referred to in reply 7.1, the Seller is not aware of any contamination or environmental issues. An environmental desktop report dated 2021 is supplied.</w:t>
      </w:r>
    </w:p>
    <w:p>
      <w:pPr>
        <w:spacing w:before="200"/>
      </w:pPr>
      <w:r>
        <w:rPr>
          <w:i/>
          <w:iCs/>
        </w:rPr>
        <w:t xml:space="preserve">Given by: Calder Whitmore LLP, solicitors for the Seller</w:t>
      </w:r>
    </w:p>
    <w:p>
      <w:pPr>
        <w:spacing w:after="120"/>
      </w:pPr>
      <w:r>
        <w:rPr>
          <w:i/>
          <w:iCs/>
        </w:rPr>
        <w:t xml:space="preserve">Dated: 30 September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48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2026-06-25T14:36:51.441Z</dcterms:created>
  <dcterms:modified xsi:type="dcterms:W3CDTF">2026-06-25T14:36:51.441Z</dcterms:modified>
</cp:coreProperties>
</file>

<file path=docProps/custom.xml><?xml version="1.0" encoding="utf-8"?>
<Properties xmlns="http://schemas.openxmlformats.org/officeDocument/2006/custom-properties" xmlns:vt="http://schemas.openxmlformats.org/officeDocument/2006/docPropsVTypes"/>
</file>