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28"/>
          <w:szCs w:val="28"/>
        </w:rPr>
        <w:t xml:space="preserve">PROJECT SABLE</w:t>
      </w:r>
    </w:p>
    <w:p>
      <w:pPr>
        <w:spacing w:after="200"/>
        <w:jc w:val="center"/>
      </w:pPr>
      <w:r>
        <w:rPr>
          <w:b/>
          <w:bCs/>
        </w:rPr>
        <w:t xml:space="preserve">Completion Checklist — Sable House, 40 Deansgate, Manchester (WC-00118)</w:t>
      </w:r>
    </w:p>
    <w:p>
      <w:pPr>
        <w:spacing w:after="40"/>
      </w:pPr>
      <w:r>
        <w:rPr>
          <w:b/>
          <w:bCs/>
        </w:rPr>
        <w:t xml:space="preserve">Target completion: </w:t>
      </w:r>
      <w:r>
        <w:t xml:space="preserve">21 November 2025</w:t>
      </w:r>
    </w:p>
    <w:p>
      <w:pPr>
        <w:spacing w:after="40"/>
      </w:pPr>
      <w:r>
        <w:rPr>
          <w:b/>
          <w:bCs/>
        </w:rPr>
        <w:t xml:space="preserve">Buyer’s solicitors: </w:t>
      </w:r>
      <w:r>
        <w:t xml:space="preserve">Whitfield Carter LLP (ref SW/JO/WC-00118)</w:t>
      </w:r>
    </w:p>
    <w:p>
      <w:pPr>
        <w:spacing w:after="160"/>
      </w:pPr>
      <w:r>
        <w:rPr>
          <w:b/>
          <w:bCs/>
        </w:rPr>
        <w:t xml:space="preserve">Seller’s solicitors: </w:t>
      </w:r>
      <w:r>
        <w:t xml:space="preserve">Calder Whitmore LLP (ref RPM/AS/4471)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5055"/>
        <w:gridCol w:w="1444"/>
        <w:gridCol w:w="1805"/>
      </w:tblGrid>
      <w:tr>
        <w:trPr>
          <w:tblHeader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Ref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Responsible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A1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Sale contract approved and engrossed (two parts)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A2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Pre-contract enquiries (CPSE.1 &amp; CPSE.2) replied to and satisfactory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Seller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A3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Title GM921044 investigated; Report on Title issued to client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A4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Search results received and reviewed (local, drainage, environmental, chancel)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A5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Occupational leases reviewed; tenancy schedule verified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A6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VAT/TOGC conditions confirmed; Buyer VAT registration &amp; option to tax evidenced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 board approval to acquire obtained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Funding confirmed; source of funds evidence provided (AML)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Deposit (£2,475,000) ready for transfer on exchange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Complete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C1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Exchange of contracts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Target 24 Oct 2025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C2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 TR1 agreed and engrossed for execution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C3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Completion statement and apportionments agreed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C4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Tenant notices of assignment of reversion prepared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 progress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C5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Rent deposit deed (Northbridge) — deed of assignment of deposit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Seller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C6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Undertaking for discharge of Seller’s charge (Clydesford Bank) obtained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Seller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Outstanding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D1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Completion: balance of price transferred; TR1 and title documents delivered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Both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Target 21 Nov 2025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D2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SDLT return filed and SDLT (£1,227,000) paid within 14 days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Post-completion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D3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Application to register transfer at HM Land Registry (AP1)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Post-completion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D4</w:t>
            </w:r>
          </w:p>
        </w:tc>
        <w:tc>
          <w:tcPr>
            <w:tcW w:type="dxa" w:w="50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Tenant notices served; management/agents notified</w:t>
            </w:r>
          </w:p>
        </w:tc>
        <w:tc>
          <w:tcPr>
            <w:tcW w:type="dxa" w:w="1444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Buyer</w:t>
            </w:r>
          </w:p>
        </w:tc>
        <w:tc>
          <w:tcPr>
            <w:tcW w:type="dxa" w:w="180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Post-completion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right" w:pos="9026"/>
      </w:tabs>
    </w:pPr>
    <w:r>
      <w:rPr>
        <w:color w:val="808080"/>
        <w:sz w:val="14"/>
        <w:szCs w:val="14"/>
      </w:rPr>
      <w:t xml:space="preserve">Whitfield Carter LLP. Confidential and may be legally privileged.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4"/>
        <w:szCs w:val="14"/>
      </w:rPr>
      <w:t xml:space="preserve"> of </w:t>
    </w:r>
    <w:r>
      <w:rPr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3864"/>
        <w:sz w:val="28"/>
        <w:szCs w:val="28"/>
      </w:rPr>
      <w:t xml:space="preserve">WHITFIELD CARTER LLP</w:t>
    </w:r>
  </w:p>
  <w:p>
    <w:pPr>
      <w:pBdr>
        <w:bottom w:val="single" w:color="1F3864" w:sz="6" w:space="1"/>
      </w:pBdr>
      <w:spacing w:after="240"/>
    </w:pPr>
    <w:r>
      <w:rPr>
        <w:color w:val="595959"/>
        <w:sz w:val="16"/>
        <w:szCs w:val="16"/>
      </w:rPr>
      <w:t xml:space="preserve">22 Bishopsgate, London EC2N 4BQ  |  T +44 (0)20 7946 0100  |  whitfieldcarter.com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080" w:hanging="480"/>
      </w:pPr>
    </w:lvl>
    <w:lvl w:ilvl="2" w15:tentative="1">
      <w:start w:val="1"/>
      <w:numFmt w:val="lowerLetter"/>
      <w:lvlText w:val="(%3)"/>
      <w:lvlJc w:val="left"/>
      <w:pPr>
        <w:ind w:left="156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2026-06-25T14:36:51.455Z</dcterms:created>
  <dcterms:modified xsi:type="dcterms:W3CDTF">2026-06-25T14:36:51.455Z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