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SUBJECT TO CONTRACT</w:t>
      </w:r>
    </w:p>
    <w:p>
      <w:pPr>
        <w:spacing w:after="60"/>
        <w:jc w:val="center"/>
      </w:pPr>
      <w:r>
        <w:rPr>
          <w:i/>
          <w:iCs/>
          <w:sz w:val="18"/>
          <w:szCs w:val="18"/>
        </w:rPr>
        <w:t xml:space="preserve">WITHOUT PREJUDICE</w:t>
      </w:r>
    </w:p>
    <w:p>
      <w:pPr>
        <w:spacing w:after="200"/>
        <w:jc w:val="center"/>
      </w:pPr>
      <w:r>
        <w:rPr>
          <w:b/>
          <w:bCs/>
          <w:sz w:val="30"/>
          <w:szCs w:val="30"/>
        </w:rPr>
        <w:t xml:space="preserve">HEADS OF TERMS</w:t>
      </w:r>
    </w:p>
    <w:p>
      <w:pPr>
        <w:spacing w:after="240"/>
        <w:jc w:val="center"/>
      </w:pPr>
      <w:r>
        <w:rPr>
          <w:b/>
          <w:bCs/>
        </w:rPr>
        <w:t xml:space="preserve">Project Sable — Acquisition of the freehold of Sable House, 40 Deansgate, Manchester M3 2AY</w:t>
      </w:r>
    </w:p>
    <w:p>
      <w:pPr>
        <w:spacing w:after="200"/>
      </w:pPr>
      <w:r>
        <w:t xml:space="preserve">These heads of terms record the principal terms provisionally agreed between the parties in respect of the proposed sale and purchase of the Property. They are subject to contract and to satisfactory due diligence, and (save for paragraphs 12 to 15, which are intended to be binding) are not intended to create legally binding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Item</w:t>
            </w:r>
          </w:p>
        </w:tc>
        <w:tc>
          <w:tcPr>
            <w:tcW w:type="dxa" w:w="6499"/>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Heads of Terms</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Property</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freehold property known as Sable House, 40 Deansgate, Manchester M3 2AY, registered at HM Land Registry under title number GM921044, comprising a six-storey multi-let office building (circa 58,400 sq ft net internal area) with ancillary ground-floor retail and 22 car-parking spaces.</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Seller</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Ardent Property Holdings Limited (company no. 07412668), 1 St Peter’s Square, Manchester M2 3DE.</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Buyer</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Thornbury Properties Limited (company no. 05182334), or a wholly-owned subsidiary or nominee to be notified before exchange.</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Tenure</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Freehold, sold with vacant possession of the common parts and subject to and with the benefit of the existing occupational leases (the “Leases”) as set out in the tenancy schedule.</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Purchase Price</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£24,750,000 (twenty-four million seven hundred and fifty thousand pounds), exclusive of VAT, reflecting a net initial yield of approximately 6.4% after standard purchaser’s costs of 6.8%.</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VAT</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Seller has opted to tax the Property. The sale is intended to be treated as a transfer of a going concern (TOGC) and accordingly no VAT is expected to be chargeable, subject to the Buyer satisfying the TOGC conditions and opting to tax with effect from the relevant date.</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Deposit</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of the Purchase Price (£2,475,000) payable on exchange of contracts, to be held by the Seller’s solicitors as stakeholder.</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Tenancies</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Property is sold subject to four occupational leases producing an aggregate passing rent of £1,683,000 per annum exclusive, as detailed in the tenancy schedule annexed.</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Title Guarantee</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Seller will sell with full title guarantee.</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Condition</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Property is sold in its current physical condition. The Buyer will rely on its own survey.</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Conditions to Exchange</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Satisfactory replies to enquiries (CPSE), title investigation, search results, review of the Leases and tenancy documentation, and Buyer’s board and funding approval.</w:t>
            </w:r>
          </w:p>
        </w:tc>
      </w:tr>
      <w:tr>
        <w:trPr>
          <w:tblHeader w:val="false"/>
        </w:trPr>
        <w:tc>
          <w:tcPr>
            <w:tcW w:type="dxa" w:w="252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Target Dates</w:t>
            </w:r>
          </w:p>
        </w:tc>
        <w:tc>
          <w:tcPr>
            <w:tcW w:type="dxa" w:w="6499"/>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Exchange of contracts on or before 24 October 2025; completion 20 business days after exchange, anticipated 21 November 2025.</w:t>
            </w:r>
          </w:p>
        </w:tc>
      </w:tr>
    </w:tbl>
    <w:p>
      <w:pPr>
        <w:spacing w:before="200"/>
      </w:pPr>
    </w:p>
    <w:p>
      <w:pPr>
        <w:pStyle w:val="ListParagraph"/>
        <w:numPr>
          <w:ilvl w:val="0"/>
          <w:numId w:val="2"/>
        </w:numPr>
        <w:spacing w:after="80" w:before="160"/>
      </w:pPr>
      <w:r>
        <w:rPr>
          <w:b/>
          <w:bCs/>
        </w:rPr>
        <w:t xml:space="preserve">Costs</w:t>
      </w:r>
    </w:p>
    <w:p>
      <w:pPr>
        <w:pStyle w:val="ListParagraph"/>
        <w:numPr>
          <w:ilvl w:val="1"/>
          <w:numId w:val="2"/>
        </w:numPr>
        <w:spacing w:after="80"/>
      </w:pPr>
      <w:r>
        <w:rPr>
          <w:b w:val="false"/>
          <w:bCs w:val="false"/>
        </w:rPr>
        <w:t xml:space="preserve">Each party will bear its own legal and professional costs whether or not the transaction proceeds.</w:t>
      </w:r>
    </w:p>
    <w:p>
      <w:pPr>
        <w:pStyle w:val="ListParagraph"/>
        <w:numPr>
          <w:ilvl w:val="0"/>
          <w:numId w:val="2"/>
        </w:numPr>
        <w:spacing w:after="80" w:before="160"/>
      </w:pPr>
      <w:r>
        <w:rPr>
          <w:b/>
          <w:bCs/>
        </w:rPr>
        <w:t xml:space="preserve">Exclusivity</w:t>
      </w:r>
    </w:p>
    <w:p>
      <w:pPr>
        <w:pStyle w:val="ListParagraph"/>
        <w:numPr>
          <w:ilvl w:val="1"/>
          <w:numId w:val="2"/>
        </w:numPr>
        <w:spacing w:after="80"/>
      </w:pPr>
      <w:r>
        <w:rPr>
          <w:b w:val="false"/>
          <w:bCs w:val="false"/>
        </w:rPr>
        <w:t xml:space="preserve">In consideration of the Buyer incurring costs, the Seller agrees that for a period of six weeks from the date of these heads of terms (the “Exclusivity Period”) it will not negotiate, solicit or accept any offer from any third party for the sale of the Property, nor instruct any agent to do so.</w:t>
      </w:r>
    </w:p>
    <w:p>
      <w:pPr>
        <w:pStyle w:val="ListParagraph"/>
        <w:numPr>
          <w:ilvl w:val="0"/>
          <w:numId w:val="2"/>
        </w:numPr>
        <w:spacing w:after="80" w:before="160"/>
      </w:pPr>
      <w:r>
        <w:rPr>
          <w:b/>
          <w:bCs/>
        </w:rPr>
        <w:t xml:space="preserve">Confidentiality</w:t>
      </w:r>
    </w:p>
    <w:p>
      <w:pPr>
        <w:pStyle w:val="ListParagraph"/>
        <w:numPr>
          <w:ilvl w:val="1"/>
          <w:numId w:val="2"/>
        </w:numPr>
        <w:spacing w:after="80"/>
      </w:pPr>
      <w:r>
        <w:rPr>
          <w:b w:val="false"/>
          <w:bCs w:val="false"/>
        </w:rPr>
        <w:t xml:space="preserve">Each party will keep the existence and terms of these heads of terms and the proposed transaction confidential, save for disclosure to its professional advisers, funders and as required by law.</w:t>
      </w:r>
    </w:p>
    <w:p>
      <w:pPr>
        <w:pStyle w:val="ListParagraph"/>
        <w:numPr>
          <w:ilvl w:val="0"/>
          <w:numId w:val="2"/>
        </w:numPr>
        <w:spacing w:after="80" w:before="160"/>
      </w:pPr>
      <w:r>
        <w:rPr>
          <w:b/>
          <w:bCs/>
        </w:rPr>
        <w:t xml:space="preserve">Governing Law</w:t>
      </w:r>
    </w:p>
    <w:p>
      <w:pPr>
        <w:pStyle w:val="ListParagraph"/>
        <w:numPr>
          <w:ilvl w:val="1"/>
          <w:numId w:val="2"/>
        </w:numPr>
        <w:spacing w:after="80"/>
      </w:pPr>
      <w:r>
        <w:rPr>
          <w:b w:val="false"/>
          <w:bCs w:val="false"/>
        </w:rPr>
        <w:t xml:space="preserve">These heads of terms are governed by the law of England and Wales.</w:t>
      </w:r>
    </w:p>
    <w:p>
      <w:pPr>
        <w:pStyle w:val="ListParagraph"/>
        <w:numPr>
          <w:ilvl w:val="0"/>
          <w:numId w:val="2"/>
        </w:numPr>
        <w:spacing w:after="80" w:before="160"/>
      </w:pPr>
      <w:r>
        <w:rPr>
          <w:b/>
          <w:bCs/>
        </w:rPr>
        <w:t xml:space="preserve">Status</w:t>
      </w:r>
    </w:p>
    <w:p>
      <w:pPr>
        <w:pStyle w:val="ListParagraph"/>
        <w:numPr>
          <w:ilvl w:val="1"/>
          <w:numId w:val="2"/>
        </w:numPr>
        <w:spacing w:after="80"/>
      </w:pPr>
      <w:r>
        <w:rPr>
          <w:b w:val="false"/>
          <w:bCs w:val="false"/>
        </w:rPr>
        <w:t xml:space="preserve">Save for paragraphs 12 (Exclusivity), 13 (Confidentiality), 14 (Governing Law) and 11 (Costs), which are intended to be legally binding, these heads of terms are subject to contract and do not give rise to any legally binding obligation.</w:t>
      </w:r>
    </w:p>
    <w:p>
      <w:pPr>
        <w:spacing w:after="60" w:before="240"/>
      </w:pPr>
      <w:r>
        <w:rPr>
          <w:b/>
          <w:bCs/>
        </w:rPr>
        <w:t xml:space="preserve">Agreed in principle (subject to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For the Seller</w:t>
            </w:r>
          </w:p>
        </w:tc>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For the Buyer</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Ardent Property Holdings Limited</w:t>
            </w:r>
          </w:p>
          <w:p>
            <w:pPr>
              <w:spacing w:after="40"/>
            </w:pPr>
            <w:r>
              <w:t xml:space="preserve"/>
            </w:r>
          </w:p>
          <w:p>
            <w:pPr>
              <w:spacing w:after="40"/>
            </w:pPr>
            <w:r>
              <w:t xml:space="preserve">Signed: ......................................</w:t>
            </w:r>
          </w:p>
          <w:p>
            <w:pPr>
              <w:spacing w:after="40"/>
            </w:pPr>
            <w:r>
              <w:t xml:space="preserve">Name: David Renshaw</w:t>
            </w:r>
          </w:p>
          <w:p>
            <w:pPr>
              <w:spacing w:after="40"/>
            </w:pPr>
            <w:r>
              <w:t xml:space="preserve">Title: Director</w:t>
            </w:r>
          </w:p>
          <w:p>
            <w:pPr>
              <w:spacing w:after="40"/>
            </w:pPr>
            <w:r>
              <w:t xml:space="preserve">Date: 9 September 2025</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Thornbury Properties Limited</w:t>
            </w:r>
          </w:p>
          <w:p>
            <w:pPr>
              <w:spacing w:after="40"/>
            </w:pPr>
            <w:r>
              <w:t xml:space="preserve"/>
            </w:r>
          </w:p>
          <w:p>
            <w:pPr>
              <w:spacing w:after="40"/>
            </w:pPr>
            <w:r>
              <w:t xml:space="preserve">Signed: ......................................</w:t>
            </w:r>
          </w:p>
          <w:p>
            <w:pPr>
              <w:spacing w:after="40"/>
            </w:pPr>
            <w:r>
              <w:t xml:space="preserve">Name: Isla Fournier</w:t>
            </w:r>
          </w:p>
          <w:p>
            <w:pPr>
              <w:spacing w:after="40"/>
            </w:pPr>
            <w:r>
              <w:t xml:space="preserve">Title: Head of Acquisitions</w:t>
            </w:r>
          </w:p>
          <w:p>
            <w:pPr>
              <w:spacing w:after="40"/>
            </w:pPr>
            <w:r>
              <w:t xml:space="preserve">Date: 9 September 2025</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1"/>
      </w:pBdr>
      <w:spacing w:after="240"/>
    </w:pPr>
    <w:r>
      <w:rPr>
        <w:color w:val="595959"/>
        <w:sz w:val="16"/>
        <w:szCs w:val="16"/>
      </w:rPr>
      <w:t xml:space="preserve">22 Bishopsgate, London EC2N 4BQ  |  T +44 (0)20 7946 0100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48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2026-06-25T14:36:51.324Z</dcterms:created>
  <dcterms:modified xsi:type="dcterms:W3CDTF">2026-06-25T14:36:51.324Z</dcterms:modified>
</cp:coreProperties>
</file>

<file path=docProps/custom.xml><?xml version="1.0" encoding="utf-8"?>
<Properties xmlns="http://schemas.openxmlformats.org/officeDocument/2006/custom-properties" xmlns:vt="http://schemas.openxmlformats.org/officeDocument/2006/docPropsVTypes"/>
</file>