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VERDANT ENERGY SYSTEMS LIMITED</w:t>
      </w:r>
    </w:p>
    <w:p>
      <w:pPr>
        <w:spacing w:after="40"/>
        <w:jc w:val="center"/>
      </w:pPr>
      <w:r>
        <w:rPr>
          <w:sz w:val="18"/>
          <w:szCs w:val="18"/>
        </w:rPr>
        <w:t xml:space="preserve">(company number 09214477)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MINUTES of a meeting of the board of directors</w:t>
      </w:r>
    </w:p>
    <w:p>
      <w:pPr>
        <w:spacing w:after="120"/>
      </w:pPr>
      <w:r>
        <w:t xml:space="preserve">Held at: Foundry Court, 14 Tanner Street, London SE1 3LD (and by video-conference)</w:t>
      </w:r>
    </w:p>
    <w:p>
      <w:pPr>
        <w:spacing w:after="120"/>
      </w:pPr>
      <w:r>
        <w:t xml:space="preserve">Date: 26 November 2025</w:t>
      </w:r>
    </w:p>
    <w:p>
      <w:pPr>
        <w:spacing w:after="200"/>
      </w:pPr>
      <w:r>
        <w:t xml:space="preserve">Present: Dr Helena Voss (Chair, CEO); Marcus Calder (CTO); Rohan Bhatt (CFO); Nadia Fenwick (General Counsel &amp; Secretary).</w:t>
      </w:r>
    </w:p>
    <w:p>
      <w:pPr>
        <w:pStyle w:val="Heading1"/>
      </w:pPr>
      <w:r>
        <w:t xml:space="preserve">1. Quorum and notice</w:t>
      </w:r>
    </w:p>
    <w:p>
      <w:pPr>
        <w:spacing w:after="120"/>
      </w:pPr>
      <w:r>
        <w:t xml:space="preserve">The Chair confirmed that due notice had been given and a quorum was present. The meeting proceeded to business.</w:t>
      </w:r>
    </w:p>
    <w:p>
      <w:pPr>
        <w:pStyle w:val="Heading1"/>
      </w:pPr>
      <w:r>
        <w:t xml:space="preserve">2. Project Falcon – Stratton Energy supply agreement</w:t>
      </w:r>
    </w:p>
    <w:p>
      <w:pPr>
        <w:spacing w:after="120"/>
      </w:pPr>
      <w:r>
        <w:t xml:space="preserve">The board considered the proposed Energy Storage Supply, Software Licence and Long-Term Service Agreement with Stratton Energy plc relating to the supply of an 80 MW / 160 MWh battery energy storage system at Stratton’s Carrowmoor site. The General Counsel summarised the principal terms, including the supply price of £62,400,000, the annual licence fee of £840,000, the annual service charge of £1,950,000, the 7-year LTSA term, the guaranteed availability of 97.5%, and the liability cap of 125% of trailing 12-month Charges with a £15,000,000 supply super-cap.</w:t>
      </w:r>
    </w:p>
    <w:p>
      <w:pPr>
        <w:spacing w:after="120"/>
      </w:pPr>
      <w:r>
        <w:t xml:space="preserve">The CFO confirmed that the milestone payment profile and the 15% advance payment had been modelled and were consistent with the Company’s working-capital facility. The CTO confirmed the technical scope and the augmentation plan were deliverable.</w:t>
      </w:r>
    </w:p>
    <w:p>
      <w:pPr>
        <w:pStyle w:val="Heading1"/>
      </w:pPr>
      <w:r>
        <w:t xml:space="preserve">3. Resolutions</w:t>
      </w:r>
    </w:p>
    <w:p>
      <w:pPr>
        <w:spacing w:after="120"/>
      </w:pPr>
      <w:r>
        <w:t xml:space="preserve">IT WAS RESOLVED that: (a) the Agreement be and is approved in the form circulated; (b) the entry into and performance of the Agreement is in the best interests of the Company; and (c) any one director be and is authorised to sign the Agreement and any ancillary documents for and on behalf of the Company.</w:t>
      </w:r>
    </w:p>
    <w:p>
      <w:pPr>
        <w:pStyle w:val="Heading1"/>
      </w:pPr>
      <w:r>
        <w:t xml:space="preserve">4. Close</w:t>
      </w:r>
    </w:p>
    <w:p>
      <w:pPr>
        <w:spacing w:after="240"/>
      </w:pPr>
      <w:r>
        <w:t xml:space="preserve">There being no further business, the Chair declared the meeting closed.</w:t>
      </w:r>
    </w:p>
    <w:p>
      <w:pPr>
        <w:spacing w:after="120"/>
      </w:pPr>
      <w:r>
        <w:t xml:space="preserve">_____________________________</w:t>
      </w:r>
    </w:p>
    <w:p>
      <w:pPr>
        <w:spacing w:after="120"/>
      </w:pPr>
      <w:r>
        <w:t xml:space="preserve">Dr Helena Voss – Chair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1"/>
      </w:pBdr>
      <w:tabs>
        <w:tab w:val="right" w:pos="9026"/>
      </w:tabs>
    </w:pPr>
    <w:r>
      <w:rPr>
        <w:color w:val="777777"/>
        <w:sz w:val="14"/>
        <w:szCs w:val="14"/>
      </w:rPr>
      <w:t xml:space="preserve">Project Falcon – Verdant Board Minutes · Confidential</w:t>
    </w:r>
    <w:r>
      <w:rPr>
        <w:color w:val="777777"/>
        <w:sz w:val="14"/>
        <w:szCs w:val="14"/>
      </w:rPr>
      <w:t xml:space="preserve">	Page </w:t>
    </w:r>
    <w:r>
      <w:rPr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Roman"/>
      <w:lvlText w:val="(%1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2026-06-28T15:47:16.861Z</dcterms:created>
  <dcterms:modified xsi:type="dcterms:W3CDTF">2026-06-28T15:47:16.861Z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