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HEADS OF TERMS</w:t>
      </w:r>
    </w:p>
    <w:p>
      <w:pPr>
        <w:spacing w:after="40"/>
        <w:jc w:val="center"/>
      </w:pPr>
      <w:r>
        <w:rPr>
          <w:b/>
          <w:bCs/>
          <w:sz w:val="22"/>
          <w:szCs w:val="22"/>
        </w:rPr>
        <w:t xml:space="preserve">Project Falcon</w:t>
      </w:r>
    </w:p>
    <w:p>
      <w:pPr>
        <w:spacing w:after="160"/>
        <w:jc w:val="center"/>
      </w:pPr>
      <w:r>
        <w:rPr>
          <w:color w:val="555555"/>
          <w:sz w:val="18"/>
          <w:szCs w:val="18"/>
        </w:rPr>
        <w:t xml:space="preserve">Carrowmoor Battery Energy Storage System – Supply, Software Licence and Long-Term Service</w:t>
      </w:r>
    </w:p>
    <w:p>
      <w:pPr>
        <w:spacing w:after="120"/>
        <w:rPr>
          <w:i/>
          <w:iCs/>
        </w:rPr>
      </w:pPr>
      <w:r>
        <w:rPr>
          <w:i/>
          <w:iCs/>
        </w:rPr>
        <w:t xml:space="preserve">These heads of terms are dated 22 September 2025 and record the principal commercial terms agreed in principle between the parties. Save for the paragraphs headed “Exclusivity”, “Confidentiality”, “Costs” and “Governing law”, they are not intended to be legally binding and are subject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Supplier</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Verdant Energy Systems Limited (company no. 09214477), Foundry Court, 14 Tanner Street, London SE1 3LD.</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Customer</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Stratton Energy plc (company no. 03318890), Stratton House, 1 Eastgate, Leeds LS2 7HF.</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Project</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Design, supply, installation supervision, commissioning and long-term service of an 80 MW / 160 MWh lithium-iron-phosphate battery energy storage system (the “BESS”) at the Customer’s Carrowmoor site, Cumbria, together with a licence of the Supplier’s Aeris energy-management software platform.</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Capital supply price</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£62,400,000 (excluding VAT) for the BESS, fixed, equating to £390,000 per MWh of installed energy capacity, payable against the milestone schedule in the Agreement.</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Software licence</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Annual subscription of £840,000 for the Aeris platform (Bid-Optimiser and Asset-Health modules), indexed annually to CPI.</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Long-term service (LTSA)</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Annual service charge of £1,950,000 for operation, maintenance and availability management, for a term of 7 years from the Commercial Operation Date, indexed annually to CPI.</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Performance guarantees</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Guaranteed availability of 97.5% per contract year; guaranteed round-trip efficiency of 87% at the AC point of connection (year 1); capacity retention of not less than 70% of nameplate at the end of year 10.</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Liquidated damages</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Availability LDs payable for any shortfall below the guaranteed availability, capped at 10% of the annual service charge per contract year.</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Liability cap</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Aggregate liability capped at 125% of the Charges paid in the preceding 12 months, with a separate super-cap of £15,000,000 for the supply element. Carve-outs for death/personal injury, fraud, IP indemnity and confidentiality breach.</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Title and risk</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Title to the BESS passes to the Customer on the Commercial Operation Date; risk passes on delivery to the Carrowmoor site.</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IP</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Supplier retains all IP in the Aeris software and the BESS design; Customer receives a non-exclusive licence for the term of the LTSA.</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Conditions</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Grid connection agreement executed; planning consent in place; Customer board approval; Supplier financing in place.</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Target signing</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End November 2025. Target Commercial Operation Date: Q1 2027.</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Exclusivity</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The Customer agrees to deal exclusively with the Supplier in respect of the Project until 31 December 2025 (binding).</w:t>
            </w:r>
          </w:p>
        </w:tc>
      </w:tr>
      <w:tr>
        <w:tc>
          <w:tcPr>
            <w:tcW w:type="dxa" w:w="28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Governing law</w:t>
            </w:r>
          </w:p>
        </w:tc>
        <w:tc>
          <w:tcPr>
            <w:tcW w:type="dxa" w:w="6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England and Wales; courts of England and Wales (binding).</w:t>
            </w:r>
          </w:p>
        </w:tc>
      </w:tr>
    </w:tbl>
    <w:p>
      <w:pPr>
        <w:spacing w:before="200"/>
      </w:pPr>
      <w:r>
        <w:t xml:space="preserve">Signed for and on behalf of the parties by their authorised representatives.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color w:val="777777"/>
        <w:sz w:val="14"/>
        <w:szCs w:val="14"/>
      </w:rPr>
      <w:t xml:space="preserve">Project Falcon – Heads of Terms · Subject to Contract ·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2026-06-28T15:47:16.774Z</dcterms:created>
  <dcterms:modified xsi:type="dcterms:W3CDTF">2026-06-28T15:47:16.774Z</dcterms:modified>
</cp:coreProperties>
</file>

<file path=docProps/custom.xml><?xml version="1.0" encoding="utf-8"?>
<Properties xmlns="http://schemas.openxmlformats.org/officeDocument/2006/custom-properties" xmlns:vt="http://schemas.openxmlformats.org/officeDocument/2006/docPropsVTypes"/>
</file>