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STATEMENT OF WORKS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Project Falcon – Carrowmoor BESS (Schedule 2)</w:t>
      </w:r>
    </w:p>
    <w:p>
      <w:pPr>
        <w:spacing w:after="120"/>
      </w:pPr>
      <w:r>
        <w:t xml:space="preserve">This Statement of Works forms Schedule 2 to the Energy Storage Supply, Software Licence and Long-Term Service Agreement between Verdant Energy Systems Limited and Stratton Energy plc and describes the scope, deliverables, programme and acceptance criteria for the Project.</w:t>
      </w:r>
    </w:p>
    <w:p>
      <w:pPr>
        <w:pStyle w:val="Heading1"/>
      </w:pPr>
      <w:r>
        <w:t xml:space="preserve">1. Scope of supply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Detailed design and engineering of the 80 MW / 160 MWh LFP battery system, power-conversion system and medium-voltage interface.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Manufacture and factory acceptance testing (FAT) of battery enclosures and PCS units.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Delivery to the Carrowmoor site and supervision of installation by the Customer’s civils contractor.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Commissioning, site acceptance testing (SAT) and grid-compliance testing to the Grid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Integration of the Aeris energy-management platform and SCADA interface to the Customer’s control room.</w:t>
      </w:r>
    </w:p>
    <w:p>
      <w:pPr>
        <w:pStyle w:val="Heading1"/>
      </w:pPr>
      <w:r>
        <w:t xml:space="preserve">2. Customer 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Provision of the Site, civil and groundworks, access roads and laydown areas by the dates in the Project Programme.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Procurement and energisation of the grid connection and the connection agreement with the DNO/ESO.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Planning consent and all site permits; provision of a single point of contact for site access.</w:t>
      </w:r>
    </w:p>
    <w:p>
      <w:pPr>
        <w:pStyle w:val="Heading1"/>
      </w:pPr>
      <w:r>
        <w:t xml:space="preserve">3. Project programme (indicative milestones)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Milestone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0F8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Contract signature &amp; advance payment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 November 2025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Detailed design freeze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Q1 2026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Cells &amp; PCS order placed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February 2026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Delivery to Site commences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Mechanical completion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December 2026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Commissioning &amp; SAT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Q1 2027</w:t>
            </w:r>
          </w:p>
        </w:tc>
      </w:tr>
      <w:tr>
        <w:tc>
          <w:tcPr>
            <w:tcW w:type="dxa" w:w="5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Commercial Operation Date (target)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31 March 2027</w:t>
            </w:r>
          </w:p>
        </w:tc>
      </w:tr>
    </w:tbl>
    <w:p>
      <w:pPr>
        <w:pStyle w:val="Heading1"/>
      </w:pPr>
      <w:r>
        <w:t xml:space="preserve">4. Acceptance Tests</w:t>
      </w:r>
    </w:p>
    <w:p>
      <w:pPr>
        <w:spacing w:after="120"/>
      </w:pPr>
      <w:r>
        <w:t xml:space="preserve">The Acceptance Certificate will be issued when the System has: (a) passed grid-compliance testing; (b) demonstrated full-power charge and discharge at 80 MW; (c) demonstrated round-trip efficiency of at least 87% at the AC point of connection; (d) completed a 72-hour reliability run with availability of at least 98%; and (e) demonstrated Aeris dispatch with response time below 150 ms.</w:t>
      </w:r>
    </w:p>
    <w:p>
      <w:pPr>
        <w:pStyle w:val="Heading1"/>
      </w:pPr>
      <w:r>
        <w:t xml:space="preserve">5. Deliverables and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As-built drawings, O&amp;M manuals, FAT/SAT certificates and the grid-compliance report.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Augmentation plan demonstrating maintenance of capacity at ≥ 70% of nameplate to year 10.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Training of up to 8 Customer operators on Aeris and System operation.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1"/>
      </w:pBdr>
      <w:tabs>
        <w:tab w:val="right" w:pos="9026"/>
      </w:tabs>
    </w:pPr>
    <w:r>
      <w:rPr>
        <w:color w:val="777777"/>
        <w:sz w:val="14"/>
        <w:szCs w:val="14"/>
      </w:rPr>
      <w:t xml:space="preserve">Project Falcon – Statement of Works (Schedule 2) · Confidential</w:t>
    </w:r>
    <w:r>
      <w:rPr>
        <w:color w:val="777777"/>
        <w:sz w:val="14"/>
        <w:szCs w:val="14"/>
      </w:rPr>
      <w:t xml:space="preserve">	Page </w:t>
    </w:r>
    <w:r>
      <w:rPr>
        <w:color w:val="777777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lowerRoman"/>
      <w:lvlText w:val="(%1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2026-06-28T15:47:16.845Z</dcterms:created>
  <dcterms:modified xsi:type="dcterms:W3CDTF">2026-06-28T15:47:16.845Z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