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24"/>
          <w:szCs w:val="24"/>
        </w:rPr>
        <w:t xml:space="preserve">SCHEDULE 5</w:t>
      </w:r>
    </w:p>
    <w:p>
      <w:pPr>
        <w:spacing w:after="200"/>
        <w:jc w:val="center"/>
      </w:pPr>
      <w:r>
        <w:rPr>
          <w:b/>
          <w:bCs/>
          <w:sz w:val="20"/>
          <w:szCs w:val="20"/>
        </w:rPr>
        <w:t xml:space="preserve">LONG-TERM SERVICE AGREEMENT – SERVICE LEVELS AND MAINTENANCE</w:t>
      </w:r>
    </w:p>
    <w:p>
      <w:pPr>
        <w:spacing w:after="120"/>
      </w:pPr>
      <w:r>
        <w:t xml:space="preserve">This Schedule 5 forms part of the Battery Energy Storage System Supply and Long-Term Service Agreement between Verdant Energy Systems Limited and Harbrook Data Centres plc. Capitalised terms have the meanings given in the Agreement.</w:t>
      </w:r>
    </w:p>
    <w:p>
      <w:pPr>
        <w:pStyle w:val="Heading2"/>
      </w:pPr>
      <w:r>
        <w:t xml:space="preserve">1. Scope of the Services</w:t>
      </w:r>
    </w:p>
    <w:p>
      <w:pPr>
        <w:spacing w:after="120"/>
      </w:pPr>
      <w:r>
        <w:t xml:space="preserve">The Supplier shall provide the following Services throughout the LTSA Term of ten (10) Contract Years commencing on the Take-Over Date:</w:t>
      </w:r>
    </w:p>
    <w:p>
      <w:pPr>
        <w:pStyle w:val="ListParagraph"/>
        <w:numPr>
          <w:ilvl w:val="0"/>
          <w:numId w:val="2"/>
        </w:numPr>
        <w:spacing w:after="60"/>
      </w:pPr>
      <w:r>
        <w:t xml:space="preserve">Scheduled preventive maintenance in accordance with the maintenance plan, including two planned maintenance visits per Site per Contract Year;</w:t>
      </w:r>
    </w:p>
    <w:p>
      <w:pPr>
        <w:pStyle w:val="ListParagraph"/>
        <w:numPr>
          <w:ilvl w:val="0"/>
          <w:numId w:val="2"/>
        </w:numPr>
        <w:spacing w:after="60"/>
      </w:pPr>
      <w:r>
        <w:t xml:space="preserve">24/7 remote monitoring of the System and the VerdantOS platform from the Supplier’s network operations centre;</w:t>
      </w:r>
    </w:p>
    <w:p>
      <w:pPr>
        <w:pStyle w:val="ListParagraph"/>
        <w:numPr>
          <w:ilvl w:val="0"/>
          <w:numId w:val="2"/>
        </w:numPr>
        <w:spacing w:after="60"/>
      </w:pPr>
      <w:r>
        <w:t xml:space="preserve">Unscheduled corrective maintenance and fault rectification, including provision of spare parts and modules;</w:t>
      </w:r>
    </w:p>
    <w:p>
      <w:pPr>
        <w:pStyle w:val="ListParagraph"/>
        <w:numPr>
          <w:ilvl w:val="0"/>
          <w:numId w:val="2"/>
        </w:numPr>
        <w:spacing w:after="60"/>
      </w:pPr>
      <w:r>
        <w:t xml:space="preserve">Availability management to maintain the Guaranteed Availability of 97.5% per Contract Year;</w:t>
      </w:r>
    </w:p>
    <w:p>
      <w:pPr>
        <w:pStyle w:val="ListParagraph"/>
        <w:numPr>
          <w:ilvl w:val="0"/>
          <w:numId w:val="2"/>
        </w:numPr>
        <w:spacing w:after="60"/>
      </w:pPr>
      <w:r>
        <w:t xml:space="preserve">Capacity augmentation as required to maintain the End-of-Term Retention Guarantee of 70% usable energy at the end of Year 10;</w:t>
      </w:r>
    </w:p>
    <w:p>
      <w:pPr>
        <w:pStyle w:val="ListParagraph"/>
        <w:numPr>
          <w:ilvl w:val="0"/>
          <w:numId w:val="2"/>
        </w:numPr>
        <w:spacing w:after="60"/>
      </w:pPr>
      <w:r>
        <w:t xml:space="preserve">Warranty administration and reporting; and quarterly performance reporting to the Customer.</w:t>
      </w:r>
    </w:p>
    <w:p>
      <w:pPr>
        <w:pStyle w:val="Heading2"/>
      </w:pPr>
      <w:r>
        <w:t xml:space="preserve">2. Service levels and response times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5226"/>
      </w:tblGrid>
      <w:tr>
        <w:tc>
          <w:tcPr>
            <w:tcW w:type="dxa" w:w="3800"/>
            <w:tcBorders>
              <w:top w:val="single" w:color="BBBBBB" w:sz="1"/>
              <w:left w:val="single" w:color="BBBBBB" w:sz="1"/>
              <w:bottom w:val="single" w:color="BBBBBB" w:sz="1"/>
              <w:right w:val="single" w:color="BBBBBB" w:sz="1"/>
            </w:tcBorders>
            <w:shd w:fill="D5E0EC" w:val="clear"/>
            <w:tcMar>
              <w:top w:type="dxa" w:w="60"/>
              <w:left w:type="dxa" w:w="100"/>
              <w:bottom w:type="dxa" w:w="60"/>
              <w:right w:type="dxa" w:w="100"/>
            </w:tcMar>
          </w:tcPr>
          <w:p>
            <w:r>
              <w:rPr>
                <w:b/>
                <w:bCs/>
              </w:rPr>
              <w:t xml:space="preserve">Priority / event</w:t>
            </w:r>
          </w:p>
        </w:tc>
        <w:tc>
          <w:tcPr>
            <w:tcW w:type="dxa" w:w="5226"/>
            <w:tcBorders>
              <w:top w:val="single" w:color="BBBBBB" w:sz="1"/>
              <w:left w:val="single" w:color="BBBBBB" w:sz="1"/>
              <w:bottom w:val="single" w:color="BBBBBB" w:sz="1"/>
              <w:right w:val="single" w:color="BBBBBB" w:sz="1"/>
            </w:tcBorders>
            <w:shd w:fill="D5E0EC" w:val="clear"/>
            <w:tcMar>
              <w:top w:type="dxa" w:w="60"/>
              <w:left w:type="dxa" w:w="100"/>
              <w:bottom w:type="dxa" w:w="60"/>
              <w:right w:type="dxa" w:w="100"/>
            </w:tcMar>
          </w:tcPr>
          <w:p>
            <w:r>
              <w:rPr>
                <w:b/>
                <w:bCs/>
              </w:rPr>
              <w:t xml:space="preserve">Response and target restoration</w:t>
            </w:r>
          </w:p>
        </w:tc>
      </w:tr>
      <w:tr>
        <w:tc>
          <w:tcPr>
            <w:tcW w:type="dxa" w:w="3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P1 – total loss of a Site’s storage capability</w:t>
            </w:r>
          </w:p>
        </w:tc>
        <w:tc>
          <w:tcPr>
            <w:tcW w:type="dxa" w:w="52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Remote response within 1 hour; on-site attendance within 8 hours; target restoration 24 hours</w:t>
            </w:r>
          </w:p>
        </w:tc>
      </w:tr>
      <w:tr>
        <w:tc>
          <w:tcPr>
            <w:tcW w:type="dxa" w:w="3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P2 – partial capacity loss &gt; 20%</w:t>
            </w:r>
          </w:p>
        </w:tc>
        <w:tc>
          <w:tcPr>
            <w:tcW w:type="dxa" w:w="52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Remote response within 4 hours; on-site attendance within 24 hours; target restoration 72 hours</w:t>
            </w:r>
          </w:p>
        </w:tc>
      </w:tr>
      <w:tr>
        <w:tc>
          <w:tcPr>
            <w:tcW w:type="dxa" w:w="3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P3 – minor fault, no capacity impact</w:t>
            </w:r>
          </w:p>
        </w:tc>
        <w:tc>
          <w:tcPr>
            <w:tcW w:type="dxa" w:w="52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Response within 1 Business Day; rectified at next scheduled visit</w:t>
            </w:r>
          </w:p>
        </w:tc>
      </w:tr>
      <w:tr>
        <w:tc>
          <w:tcPr>
            <w:tcW w:type="dxa" w:w="3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VerdantOS platform unavailability</w:t>
            </w:r>
          </w:p>
        </w:tc>
        <w:tc>
          <w:tcPr>
            <w:tcW w:type="dxa" w:w="52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Response within 1 hour; 99.5% monthly platform availability target</w:t>
            </w:r>
          </w:p>
        </w:tc>
      </w:tr>
    </w:tbl>
    <w:p>
      <w:pPr>
        <w:pStyle w:val="Heading2"/>
      </w:pPr>
      <w:r>
        <w:t xml:space="preserve">3. Availability measurement</w:t>
      </w:r>
    </w:p>
    <w:p>
      <w:pPr>
        <w:spacing w:after="120"/>
      </w:pPr>
      <w:r>
        <w:t xml:space="preserve">Availability is measured over each Contract Year as the time-weighted proportion of Guaranteed Capacity available for charge and discharge, excluding: (a) planned maintenance windows notified in advance (not exceeding 1.5% of the Contract Year); (b) Customer-caused outages; and (c) grid-connection or Force Majeure outages. Where Availability in a Contract Year falls below 97.5%, availability liquidated damages of £450 per 0.1% shortfall are payable, capped at the LTSA Charges for that Contract Year.</w:t>
      </w:r>
    </w:p>
    <w:p>
      <w:pPr>
        <w:pStyle w:val="Heading2"/>
      </w:pPr>
      <w:r>
        <w:t xml:space="preserve">4. LTSA charges and indexation</w:t>
      </w:r>
    </w:p>
    <w:p>
      <w:pPr>
        <w:spacing w:after="120"/>
      </w:pPr>
      <w:r>
        <w:t xml:space="preserve">The LTSA Charges total £6,200,000 over the LTSA Term, payable quarterly in advance. From the start of the second Contract Year the quarterly charge is indexed annually to CPI, subject to a floor of 0% and a cap of 4% per annum. A worked schedule of the annual LTSA charge and indexation is set out in the accompanying pricing model.</w:t>
      </w:r>
    </w:p>
    <w:p>
      <w:pPr>
        <w:pStyle w:val="Heading2"/>
      </w:pPr>
      <w:r>
        <w:t xml:space="preserve">5. Termination of the LTSA</w:t>
      </w:r>
    </w:p>
    <w:p>
      <w:pPr>
        <w:spacing w:after="120"/>
      </w:pPr>
      <w:r>
        <w:t xml:space="preserve">If the System fails to meet the Guaranteed Availability in two consecutive Contract Years, or in any three Contract Years during the LTSA Term, the Customer may terminate the LTSA on 90 days’ notice, without prejudice to the product warranties in clause 10 of the Agreement, which continue for the balance of their respective terms.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888888"/>
        <w:sz w:val="14"/>
        <w:szCs w:val="14"/>
      </w:rPr>
      <w:t xml:space="preserve">Project Harbrook – Schedule 5 (SLA)</w:t>
    </w:r>
    <w:r>
      <w:rPr>
        <w:color w:val="888888"/>
        <w:sz w:val="14"/>
        <w:szCs w:val="14"/>
      </w:rPr>
      <w:t xml:space="preserve">	Page </w:t>
    </w:r>
    <w:r>
      <w:rPr>
        <w:color w:val="888888"/>
        <w:sz w:val="14"/>
        <w:szCs w:val="14"/>
      </w:rPr>
      <w:fldChar w:fldCharType="begin"/>
      <w:instrText xml:space="preserve">PAGE</w:instrText>
      <w:fldChar w:fldCharType="separate"/>
      <w:fldChar w:fldCharType="end"/>
    </w:r>
    <w:r>
      <w:rPr>
        <w:color w:val="888888"/>
        <w:sz w:val="14"/>
        <w:szCs w:val="14"/>
      </w:rPr>
      <w:t xml:space="preserve"> of </w:t>
    </w:r>
    <w:r>
      <w:rPr>
        <w:color w:val="888888"/>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b/>
        <w:bCs/>
        <w:sz w:val="20"/>
        <w:szCs w:val="20"/>
      </w:rPr>
      <w:t xml:space="preserve">WHITFIELD CARTER LLP</w:t>
    </w:r>
  </w:p>
  <w:p>
    <w:pPr>
      <w:pBdr>
        <w:bottom w:val="single" w:color="2E4A6B" w:sz="6" w:space="1"/>
      </w:pBdr>
      <w:spacing w:after="60"/>
    </w:pPr>
    <w:r>
      <w:rPr>
        <w:color w:val="555555"/>
        <w:sz w:val="16"/>
        <w:szCs w:val="16"/>
      </w:rPr>
      <w:t xml:space="preserve">22 Bishopsgate, London EC2N 4BQ   ·   www.whitfieldcarter.com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4"/>
      <w:szCs w:val="24"/>
    </w:rPr>
  </w:style>
  <w:style w:type="paragraph" w:styleId="Heading2">
    <w:name w:val="Heading 2"/>
    <w:basedOn w:val="Normal"/>
    <w:next w:val="Normal"/>
    <w:qFormat/>
    <w:pPr>
      <w:spacing w:after="80" w:before="160"/>
      <w:outlineLvl w:val="1"/>
    </w:pPr>
    <w:rPr>
      <w:rFonts w:ascii="Arial" w:cs="Arial" w:eastAsia="Arial" w:hAnsi="Arial"/>
      <w:b/>
      <w:bCs/>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2026-07-01T12:20:34.619Z</dcterms:created>
  <dcterms:modified xsi:type="dcterms:W3CDTF">2026-07-01T12:20:34.619Z</dcterms:modified>
</cp:coreProperties>
</file>

<file path=docProps/custom.xml><?xml version="1.0" encoding="utf-8"?>
<Properties xmlns="http://schemas.openxmlformats.org/officeDocument/2006/custom-properties" xmlns:vt="http://schemas.openxmlformats.org/officeDocument/2006/docPropsVTypes"/>
</file>