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6"/>
          <w:szCs w:val="26"/>
        </w:rPr>
        <w:t xml:space="preserve">HEADS OF TERMS</w:t>
      </w:r>
    </w:p>
    <w:p>
      <w:pPr>
        <w:spacing w:after="40"/>
        <w:jc w:val="center"/>
      </w:pPr>
      <w:r>
        <w:rPr>
          <w:i/>
          <w:iCs/>
          <w:sz w:val="18"/>
          <w:szCs w:val="18"/>
        </w:rPr>
        <w:t xml:space="preserve">Supply, installation, commissioning and long-term servicing of a grid-scale battery energy storage system, together with the VerdantOS energy-management software licence</w:t>
      </w:r>
    </w:p>
    <w:p>
      <w:pPr>
        <w:spacing w:after="200"/>
        <w:jc w:val="center"/>
      </w:pPr>
      <w:r>
        <w:rPr>
          <w:color w:val="555555"/>
          <w:sz w:val="18"/>
          <w:szCs w:val="18"/>
        </w:rPr>
        <w:t xml:space="preserve">Project Harbrook  ·  Subject to Contract  ·  22 September 2025</w:t>
      </w:r>
    </w:p>
    <w:p>
      <w:pPr>
        <w:spacing w:after="120"/>
      </w:pPr>
      <w:r>
        <w:t xml:space="preserve">These heads of terms record the principal commercial terms agreed in principle between the parties for the supply by Verdant Energy Systems Limited to Harbrook Data Centres plc of a battery energy storage system and associated services. Save for paragraphs 12 (Exclusivity), 13 (Confidentiality) and 14 (Costs), which are intended to be legally binding, these heads of terms are subject to contract and do not create legally binding obligations.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1"/>
              <w:left w:val="single" w:color="BBBBBB" w:sz="1"/>
              <w:bottom w:val="single" w:color="BBBBBB" w:sz="1"/>
              <w:right w:val="single" w:color="BBBBBB" w:sz="1"/>
            </w:tcBorders>
            <w:shd w:fill="D5E0EC" w:val="clear"/>
            <w:tcMar>
              <w:top w:type="dxa" w:w="60"/>
              <w:left w:type="dxa" w:w="100"/>
              <w:bottom w:type="dxa" w:w="60"/>
              <w:right w:type="dxa" w:w="100"/>
            </w:tcMar>
          </w:tcPr>
          <w:p>
            <w:r>
              <w:rPr>
                <w:b/>
                <w:bCs/>
              </w:rPr>
              <w:t xml:space="preserve">Item</w:t>
            </w:r>
          </w:p>
        </w:tc>
        <w:tc>
          <w:tcPr>
            <w:tcW w:type="dxa" w:w="6026"/>
            <w:tcBorders>
              <w:top w:val="single" w:color="BBBBBB" w:sz="1"/>
              <w:left w:val="single" w:color="BBBBBB" w:sz="1"/>
              <w:bottom w:val="single" w:color="BBBBBB" w:sz="1"/>
              <w:right w:val="single" w:color="BBBBBB" w:sz="1"/>
            </w:tcBorders>
            <w:shd w:fill="D5E0EC" w:val="clear"/>
            <w:tcMar>
              <w:top w:type="dxa" w:w="60"/>
              <w:left w:type="dxa" w:w="100"/>
              <w:bottom w:type="dxa" w:w="60"/>
              <w:right w:type="dxa" w:w="100"/>
            </w:tcMar>
          </w:tcPr>
          <w:p>
            <w:r>
              <w:rPr>
                <w:b/>
                <w:bCs/>
              </w:rPr>
              <w:t xml:space="preserve">Summary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Supplier</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Verdant Energy Systems Limited (“Verdant”)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Customer</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Harbrook Data Centres plc (“Harbrook”)</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System</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60 MW / 120 MWh lithium-iron-phosphate (LFP) battery energy storage system deployed across two Harbrook campuses: Thameside (Slough) – 40 MW / 80 MWh; Caldermoor (Warrington) – 20 MW / 40 MWh.</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Software</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Non-exclusive licence of the VerdantOS energy-management platform for dispatch, monitoring, degradation analytics and grid-services optimisation, term co-terminous with the LTSA.</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Total contract value</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£48,600,000 (excl. VAT), comprising Supply &amp; Installation £41,200,000; 10-year Long-Term Service Agreement £6,200,000; VerdantOS licence £1,200,000.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Payment</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Milestone-based against the payment schedule; 10% deposit on signature; retention of 5% released 12 months after Take-Over.</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Programme</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Notice to Proceed December 2025; Thameside energisation Q3 2026; Caldermoor energisation Q4 2026; Take-Over of the whole system targeted 30 November 2026.</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Performance guarantees</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Guaranteed availability 97.5% per Contract Year; guaranteed round-trip efficiency (RTE) 87% at Take-Over; guaranteed usable energy retention 70% at end of Year 10.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Liability</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Aggregate cap to be agreed at 100% of charges paid in the preceding 12 months, with a super-cap for confidentiality, IP infringement and the deliberate default carve-outs.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Governing law</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England and Wales; courts of England and Wales.</w:t>
            </w:r>
          </w:p>
        </w:tc>
      </w:tr>
    </w:tbl>
    <w:p>
      <w:pPr>
        <w:spacing w:after="120"/>
      </w:pPr>
      <w:r>
        <w:t xml:space="preserve"/>
      </w:r>
    </w:p>
    <w:p>
      <w:pPr>
        <w:spacing w:after="120"/>
      </w:pPr>
      <w:r>
        <w:t xml:space="preserve">1. The Supplier will design, manufacture, supply, deliver, install, test and commission the System and will provide the Services for the LTSA Term.</w:t>
      </w:r>
    </w:p>
    <w:p>
      <w:pPr>
        <w:spacing w:after="120"/>
      </w:pPr>
      <w:r>
        <w:t xml:space="preserve">2. The Customer will provide access to the Sites, grid connection agreements and the necessary permissions to enable the Supplier to perform the Works.</w:t>
      </w:r>
    </w:p>
    <w:p>
      <w:pPr>
        <w:spacing w:after="120"/>
      </w:pPr>
      <w:r>
        <w:t xml:space="preserve">3. The parties intend to enter into a definitive Battery Energy Storage System Supply and Long-Term Service Agreement (the “Agreement”) by no later than 31 December 2025.</w:t>
      </w:r>
    </w:p>
    <w:p>
      <w:pPr>
        <w:spacing w:after="120"/>
      </w:pPr>
      <w:r>
        <w:t xml:space="preserve">12. Exclusivity. For a period of 60 days from the date of these heads of terms the Customer will not solicit or accept competing proposals from any third party for the supply of the System (legally binding).</w:t>
      </w:r>
    </w:p>
    <w:p>
      <w:pPr>
        <w:spacing w:after="120"/>
      </w:pPr>
      <w:r>
        <w:t xml:space="preserve">13. Confidentiality. Each party will keep the existence and terms of these heads of terms and all information disclosed in connection with the proposed transaction confidential (legally binding).</w:t>
      </w:r>
    </w:p>
    <w:p>
      <w:pPr>
        <w:spacing w:after="120"/>
      </w:pPr>
      <w:r>
        <w:t xml:space="preserve">14. Costs. Each party bears its own costs in connection with the negotiation of the Agreement (legally binding).</w:t>
      </w:r>
    </w:p>
    <w:p>
      <w:pPr>
        <w:spacing w:after="200"/>
      </w:pPr>
      <w:r>
        <w:t xml:space="preserve"/>
      </w:r>
    </w:p>
    <w:p>
      <w:pPr>
        <w:spacing w:after="120"/>
      </w:pPr>
      <w:r>
        <w:t xml:space="preserve">Signed for and on behalf of Verdant Energy Systems Limited: ______________________   Date: ____________</w:t>
      </w:r>
    </w:p>
    <w:p>
      <w:pPr>
        <w:spacing w:after="120"/>
      </w:pPr>
      <w:r>
        <w:t xml:space="preserve">Signed for and on behalf of Harbrook Data Centres plc: ______________________   Date: 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Project Harbrook – Heads of Terms</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0"/>
        <w:szCs w:val="20"/>
      </w:rPr>
      <w:t xml:space="preserve">WHITFIELD CARTER LLP</w:t>
    </w:r>
  </w:p>
  <w:p>
    <w:pPr>
      <w:pBdr>
        <w:bottom w:val="single" w:color="2E4A6B" w:sz="6" w:space="1"/>
      </w:pBdr>
      <w:spacing w:after="60"/>
    </w:pPr>
    <w:r>
      <w:rPr>
        <w:color w:val="555555"/>
        <w:sz w:val="16"/>
        <w:szCs w:val="16"/>
      </w:rPr>
      <w:t xml:space="preserve">22 Bishopsgate, London EC2N 4BQ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2026-07-01T12:20:34.525Z</dcterms:created>
  <dcterms:modified xsi:type="dcterms:W3CDTF">2026-07-01T12:20:34.525Z</dcterms:modified>
</cp:coreProperties>
</file>

<file path=docProps/custom.xml><?xml version="1.0" encoding="utf-8"?>
<Properties xmlns="http://schemas.openxmlformats.org/officeDocument/2006/custom-properties" xmlns:vt="http://schemas.openxmlformats.org/officeDocument/2006/docPropsVTypes"/>
</file>