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B0000"/>
          <w:sz w:val="18"/>
          <w:szCs w:val="18"/>
        </w:rPr>
        <w:t xml:space="preserve">PRIVILEGED AND CONFIDENTIAL – LEGAL ADVICE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PROJECT HARBROOK – KEY ISSUES AND NEGOTIATION NOTE</w:t>
      </w:r>
    </w:p>
    <w:p>
      <w:pPr>
        <w:spacing w:after="160"/>
        <w:jc w:val="center"/>
      </w:pPr>
      <w:r>
        <w:rPr>
          <w:i/>
          <w:iCs/>
          <w:color w:val="555555"/>
          <w:sz w:val="16"/>
          <w:szCs w:val="16"/>
        </w:rPr>
        <w:t xml:space="preserve">Prepared for the client · 12 November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Dr Helena Voss (CEO); Rohan Bhatt (CFO); Nadia Fenwick (General Counsel), Verdant Energy Systems Limited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From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James Osei, Whitfield Carter LLP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BESSA with Harbrook Data Centres plc – open points ahead of the v2 mark-up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This note summarises the four points on which Denham Lewis LLP (for Harbrook) have pushed back in their v2 comments, our recommended positions and the commercial trade-offs. It is privileged; please do not circulate outside the deal team.</w:t>
      </w:r>
    </w:p>
    <w:p>
      <w:pPr>
        <w:pStyle w:val="Heading2"/>
      </w:pPr>
      <w:r>
        <w:t xml:space="preserve">1. Liability cap (clause 12.3)</w:t>
      </w:r>
    </w:p>
    <w:p>
      <w:pPr>
        <w:spacing w:after="120"/>
      </w:pPr>
      <w:r>
        <w:t xml:space="preserve">Harbrook have proposed an aggregate cap of 150% of the Contract Price (i.e. c.£72.9m). Our drafting caps annual liability at 100% of the charges paid in the preceding 12 months, with an overall ceiling at the Contract Price and a 150% super-cap only for the wilful-default and IP carve-outs. We recommend holding the annual/12-month construct: it is the market position for long-term service agreements of this kind and protects Verdant against a single-year catastrophic exposure. We can offer to raise the overall ceiling wording to make clear it is the Contract Price (not a lower figure) as a concession that costs little.</w:t>
      </w:r>
    </w:p>
    <w:p>
      <w:pPr>
        <w:pStyle w:val="Heading2"/>
      </w:pPr>
      <w:r>
        <w:t xml:space="preserve">2. Round-trip efficiency guarantee (clause 7.1 / Schedule 3)</w:t>
      </w:r>
    </w:p>
    <w:p>
      <w:pPr>
        <w:spacing w:after="120"/>
      </w:pPr>
      <w:r>
        <w:t xml:space="preserve">Harbrook want the Guaranteed RTE raised from 87% to 88% and the RTE liquidated damages doubled. Engineering advises 87% is the reliable guaranteed figure for the LFP configuration; going to 88% would erode the margin materially. Recommend holding 87% but agreeing a modest increase to the RTE liquidated-damages rate (from £90,000 to £110,000 per 1% shortfall) capped as now at 5% of the Supply and Installation Price.</w:t>
      </w:r>
    </w:p>
    <w:p>
      <w:pPr>
        <w:pStyle w:val="Heading2"/>
      </w:pPr>
      <w:r>
        <w:t xml:space="preserve">3. End-of-term retention (clause 7.3)</w:t>
      </w:r>
    </w:p>
    <w:p>
      <w:pPr>
        <w:spacing w:after="120"/>
      </w:pPr>
      <w:r>
        <w:t xml:space="preserve">Harbrook seek 75% usable-energy retention at Year 10. Our position (70%) reflects the augmentation obligation in the LTSA; 75% would require additional augmentation capex over the term. Recommend holding 70% and pointing to the LTSA augmentation obligation as the mechanism that de-risks Harbrook.</w:t>
      </w:r>
    </w:p>
    <w:p>
      <w:pPr>
        <w:pStyle w:val="Heading2"/>
      </w:pPr>
      <w:r>
        <w:t xml:space="preserve">4. Assignment / change of control (clause 16.1)</w:t>
      </w:r>
    </w:p>
    <w:p>
      <w:pPr>
        <w:spacing w:after="120"/>
      </w:pPr>
      <w:r>
        <w:t xml:space="preserve">Harbrook want the right to novate the Agreement to a financing SPV or on a sale of the Sites without Verdant’s consent. Recommend permitting novation to a group company or genuine site-purchaser subject to the assignee assuming the payment covenants and to Verdant’s reasonable creditworthiness check, rather than an unconditional right.</w:t>
      </w:r>
    </w:p>
    <w:p>
      <w:pPr>
        <w:pStyle w:val="Heading2"/>
      </w:pPr>
      <w:r>
        <w:t xml:space="preserve">Recommendation</w:t>
      </w:r>
    </w:p>
    <w:p>
      <w:pPr>
        <w:spacing w:after="120"/>
      </w:pPr>
      <w:r>
        <w:t xml:space="preserve">Concede points at the margins (RTE liquidated-damages rate; clarifying the Contract-Price ceiling; a controlled novation right) while holding the four core commercial protections. On that basis we expect to close the v2/v3 exchange and reach execution before the end of December in line with the programme.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4"/>
        <w:szCs w:val="14"/>
      </w:rPr>
      <w:t xml:space="preserve">Project Harbrook – Key Issues Note (Privileged)</w:t>
    </w:r>
    <w:r>
      <w:rPr>
        <w:color w:val="888888"/>
        <w:sz w:val="14"/>
        <w:szCs w:val="14"/>
      </w:rPr>
      <w:t xml:space="preserve">	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sz w:val="20"/>
        <w:szCs w:val="20"/>
      </w:rPr>
      <w:t xml:space="preserve">WHITFIELD CARTER LLP</w:t>
    </w:r>
  </w:p>
  <w:p>
    <w:pPr>
      <w:pBdr>
        <w:bottom w:val="single" w:color="2E4A6B" w:sz="6" w:space="1"/>
      </w:pBdr>
      <w:spacing w:after="60"/>
    </w:pPr>
    <w:r>
      <w:rPr>
        <w:color w:val="555555"/>
        <w:sz w:val="16"/>
        <w:szCs w:val="16"/>
      </w:rPr>
      <w:t xml:space="preserve">22 Bishopsgate, London EC2N 4BQ   ·   www.whitfieldcarter.com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2026-07-01T12:20:34.630Z</dcterms:created>
  <dcterms:modified xsi:type="dcterms:W3CDTF">2026-07-01T12:20:34.630Z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