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30"/>
        </w:rPr>
        <w:t>DATA PROCESSING AGREEMENT (SCHEDULE 5)</w:t>
      </w:r>
    </w:p>
    <w:p>
      <w:pPr>
        <w:spacing w:after="200"/>
        <w:jc w:val="center"/>
      </w:pPr>
      <w:r>
        <w:rPr>
          <w:b w:val="0"/>
          <w:i/>
          <w:sz w:val="22"/>
        </w:rPr>
        <w:t>Project Lyra – UK GDPR Processor Terms</w:t>
      </w:r>
    </w:p>
    <w:p>
      <w:pPr>
        <w:spacing w:before="80" w:after="120"/>
      </w:pPr>
      <w:r>
        <w:rPr>
          <w:b/>
          <w:sz w:val="26"/>
        </w:rPr>
        <w:t>1.  Roles</w:t>
      </w:r>
    </w:p>
    <w:p>
      <w:pPr>
        <w:spacing w:after="120"/>
      </w:pPr>
      <w:r>
        <w:rPr>
          <w:b w:val="0"/>
          <w:i w:val="0"/>
          <w:sz w:val="22"/>
        </w:rPr>
        <w:t>In respect of personal data processed under the MSSA, the Customer (Pennland Water plc) is the controller and Verdant Energy Systems Limited is the processor. This DPA sets out the terms on which Verdant processes personal data on the Customer’s behalf and forms part of the MSSA.</w:t>
      </w:r>
    </w:p>
    <w:p>
      <w:pPr>
        <w:spacing w:before="240" w:after="120"/>
      </w:pPr>
      <w:r>
        <w:rPr>
          <w:b/>
          <w:sz w:val="26"/>
        </w:rPr>
        <w:t>2.  Subject-matter and details of processing</w:t>
      </w:r>
    </w:p>
    <w:p>
      <w:pPr>
        <w:spacing w:after="120"/>
      </w:pPr>
      <w:r>
        <w:rPr>
          <w:b w:val="0"/>
          <w:i w:val="0"/>
          <w:sz w:val="22"/>
        </w:rPr>
        <w:t>Subject-matter: provision of the Aurora Platform and managed-optimisation Services. Duration: the Term of the MSSA. Nature and purpose: hosting, processing and analysis of operational and energy data to optimise battery dispatch and verify Energy Savings. Types of personal data: business-contact details of Authorised Users (name, work email, role). Categories of data subject: the Customer’s personnel and authorised contractors. No special-category data is processed.</w:t>
      </w:r>
    </w:p>
    <w:p>
      <w:pPr>
        <w:spacing w:before="240" w:after="120"/>
      </w:pPr>
      <w:r>
        <w:rPr>
          <w:b/>
          <w:sz w:val="26"/>
        </w:rPr>
        <w:t>3.  Processor obligations</w:t>
      </w:r>
    </w:p>
    <w:p>
      <w:pPr>
        <w:spacing w:after="120"/>
      </w:pPr>
      <w:r>
        <w:rPr>
          <w:b/>
        </w:rPr>
        <w:t xml:space="preserve">3.1  </w:t>
      </w:r>
      <w:r>
        <w:t>Verdant shall process personal data only on the Customer’s documented instructions, including with regard to transfers, unless required to do otherwise by law (in which case it will notify the Customer unless prohibited).</w:t>
      </w:r>
    </w:p>
    <w:p>
      <w:pPr>
        <w:spacing w:after="120"/>
      </w:pPr>
      <w:r>
        <w:rPr>
          <w:b/>
        </w:rPr>
        <w:t xml:space="preserve">3.2  </w:t>
      </w:r>
      <w:r>
        <w:t>Verdant shall ensure persons authorised to process the data are bound by confidentiality.</w:t>
      </w:r>
    </w:p>
    <w:p>
      <w:pPr>
        <w:spacing w:after="120"/>
      </w:pPr>
      <w:r>
        <w:rPr>
          <w:b/>
        </w:rPr>
        <w:t xml:space="preserve">3.3  </w:t>
      </w:r>
      <w:r>
        <w:t>Verdant shall implement appropriate technical and organisational measures consistent with ISO/IEC 27001 to ensure a level of security appropriate to the risk, including encryption in transit and at rest, access controls and regular testing.</w:t>
      </w:r>
    </w:p>
    <w:p>
      <w:pPr>
        <w:spacing w:after="120"/>
      </w:pPr>
      <w:r>
        <w:rPr>
          <w:b/>
        </w:rPr>
        <w:t xml:space="preserve">3.4  </w:t>
      </w:r>
      <w:r>
        <w:t>Verdant shall not engage a sub-processor without the Customer’s prior general written authorisation, and shall flow down equivalent data-protection obligations. Verdant remains liable for its sub-processors.</w:t>
      </w:r>
    </w:p>
    <w:p>
      <w:pPr>
        <w:spacing w:after="120"/>
      </w:pPr>
      <w:r>
        <w:rPr>
          <w:b/>
        </w:rPr>
        <w:t xml:space="preserve">3.5  </w:t>
      </w:r>
      <w:r>
        <w:t>Taking into account the nature of the processing, Verdant shall assist the Customer in responding to data-subject requests and in ensuring compliance with its obligations under Articles 32 to 36 UK GDPR.</w:t>
      </w:r>
    </w:p>
    <w:p>
      <w:pPr>
        <w:spacing w:after="120"/>
      </w:pPr>
      <w:r>
        <w:rPr>
          <w:b/>
        </w:rPr>
        <w:t xml:space="preserve">3.6  </w:t>
      </w:r>
      <w:r>
        <w:t>Verdant shall notify the Customer without undue delay, and in any event within 48 hours, of becoming aware of any Personal Data Breach.</w:t>
      </w:r>
    </w:p>
    <w:p>
      <w:pPr>
        <w:spacing w:after="120"/>
      </w:pPr>
      <w:r>
        <w:rPr>
          <w:b/>
        </w:rPr>
        <w:t xml:space="preserve">3.7  </w:t>
      </w:r>
      <w:r>
        <w:t>On termination of the Services, Verdant shall, at the Customer’s choice, delete or return all personal data and delete existing copies unless retention is required by law.</w:t>
      </w:r>
    </w:p>
    <w:p>
      <w:pPr>
        <w:spacing w:after="120"/>
      </w:pPr>
      <w:r>
        <w:rPr>
          <w:b/>
        </w:rPr>
        <w:t xml:space="preserve">3.8  </w:t>
      </w:r>
      <w:r>
        <w:t>Verdant shall make available to the Customer all information necessary to demonstrate compliance and allow for and contribute to audits, including inspections, conducted by the Customer or its auditor on reasonable notice and no more than once per year save where required by a regulator.</w:t>
      </w:r>
    </w:p>
    <w:p>
      <w:pPr>
        <w:spacing w:before="240" w:after="120"/>
      </w:pPr>
      <w:r>
        <w:rPr>
          <w:b/>
          <w:sz w:val="26"/>
        </w:rPr>
        <w:t>4.  International transfers</w:t>
      </w:r>
    </w:p>
    <w:p>
      <w:pPr>
        <w:spacing w:after="120"/>
      </w:pPr>
      <w:r>
        <w:rPr>
          <w:b w:val="0"/>
          <w:i w:val="0"/>
          <w:sz w:val="22"/>
        </w:rPr>
        <w:t>Verdant shall not transfer personal data outside the UK without the Customer’s prior written consent and without putting in place an appropriate transfer mechanism (such as the UK International Data Transfer Agreement or Addendum) where required.</w:t>
      </w:r>
    </w:p>
    <w:p>
      <w:pPr>
        <w:spacing w:after="240" w:before="240"/>
      </w:pPr>
      <w:r>
        <w:rPr>
          <w:b/>
          <w:i w:val="0"/>
          <w:sz w:val="22"/>
        </w:rPr>
        <w:t>Agreed for and on behalf of the Parties:</w:t>
      </w:r>
    </w:p>
    <w:p>
      <w:pPr>
        <w:spacing w:after="160"/>
      </w:pPr>
      <w:r>
        <w:rPr>
          <w:b w:val="0"/>
          <w:i w:val="0"/>
          <w:sz w:val="22"/>
        </w:rPr>
        <w:t>Controller (Pennland): ..................   Alison Crewe, General Counsel</w:t>
      </w:r>
    </w:p>
    <w:p>
      <w:pPr>
        <w:spacing w:after="120"/>
      </w:pPr>
      <w:r>
        <w:rPr>
          <w:b w:val="0"/>
          <w:i w:val="0"/>
          <w:sz w:val="22"/>
        </w:rPr>
        <w:t>Processor (Verdant): ..................   Nadia Fenwick, General Counsel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