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55E"/>
          <w:sz w:val="32"/>
        </w:rPr>
        <w:t>Whitfield Carter LLP</w:t>
      </w:r>
    </w:p>
    <w:p>
      <w:pPr>
        <w:spacing w:after="80"/>
      </w:pPr>
      <w:r>
        <w:rPr>
          <w:color w:val="555555"/>
          <w:sz w:val="18"/>
        </w:rPr>
        <w:t>22 Bishopsgate, London EC2N 4BQ  |  T +44 (0)20 7946 0958  |  whitfieldcarter.com</w:t>
      </w:r>
    </w:p>
    <w:p>
      <w:pPr>
        <w:spacing w:after="200"/>
        <w:pBdr>
          <w:bottom w:val="single" w:sz="6" w:space="1" w:color="1F355E"/>
        </w:pBdr>
      </w:pPr>
    </w:p>
    <w:p>
      <w:pPr>
        <w:spacing w:after="200"/>
      </w:pPr>
      <w:r>
        <w:rPr>
          <w:b/>
          <w:i w:val="0"/>
          <w:sz w:val="22"/>
        </w:rPr>
        <w:t>STRICTLY PRIVATE &amp; CONFIDENTIAL</w:t>
      </w:r>
    </w:p>
    <w:p>
      <w:pPr>
        <w:spacing w:after="0"/>
      </w:pPr>
      <w:r>
        <w:rPr>
          <w:b w:val="0"/>
          <w:i w:val="0"/>
          <w:sz w:val="22"/>
        </w:rPr>
        <w:t>Nadia Fenwick</w:t>
      </w:r>
    </w:p>
    <w:p>
      <w:pPr>
        <w:spacing w:after="0"/>
      </w:pPr>
      <w:r>
        <w:rPr>
          <w:b w:val="0"/>
          <w:i w:val="0"/>
          <w:sz w:val="22"/>
        </w:rPr>
        <w:t>General Counsel</w:t>
      </w:r>
    </w:p>
    <w:p>
      <w:pPr>
        <w:spacing w:after="0"/>
      </w:pPr>
      <w:r>
        <w:rPr>
          <w:b w:val="0"/>
          <w:i w:val="0"/>
          <w:sz w:val="22"/>
        </w:rPr>
        <w:t>Verdant Energy Systems Limited</w:t>
      </w:r>
    </w:p>
    <w:p>
      <w:pPr>
        <w:spacing w:after="200"/>
      </w:pPr>
      <w:r>
        <w:rPr>
          <w:b w:val="0"/>
          <w:i w:val="0"/>
          <w:sz w:val="22"/>
        </w:rPr>
        <w:t>Calder House, 14 Prospect Way, Reading RG1 8DH</w:t>
      </w:r>
    </w:p>
    <w:p>
      <w:pPr>
        <w:spacing w:after="200"/>
      </w:pPr>
      <w:r>
        <w:rPr>
          <w:b w:val="0"/>
          <w:i w:val="0"/>
          <w:sz w:val="22"/>
        </w:rPr>
        <w:t>11 September 2025</w:t>
      </w:r>
    </w:p>
    <w:p>
      <w:pPr>
        <w:spacing w:after="160"/>
      </w:pPr>
      <w:r>
        <w:rPr>
          <w:b w:val="0"/>
          <w:i w:val="0"/>
          <w:sz w:val="22"/>
        </w:rPr>
        <w:t>Dear Nadia</w:t>
      </w:r>
    </w:p>
    <w:p>
      <w:pPr>
        <w:spacing w:after="160"/>
      </w:pPr>
      <w:r>
        <w:rPr>
          <w:b/>
          <w:i w:val="0"/>
          <w:sz w:val="22"/>
        </w:rPr>
        <w:t>Re: Project Lyra – Master software and services arrangements with Pennland Water plc</w:t>
      </w:r>
    </w:p>
    <w:p>
      <w:pPr>
        <w:spacing w:after="120"/>
      </w:pPr>
      <w:r>
        <w:rPr>
          <w:b w:val="0"/>
          <w:i w:val="0"/>
          <w:sz w:val="22"/>
        </w:rPr>
        <w:t>Thank you for instructing Whitfield Carter LLP in connection with the proposed long-term software licensing and managed-services arrangement under which Verdant will deploy its Aurora Grid Intelligence Platform and battery-optimisation services to Pennland Water plc across its water and wastewater treatment estate. This letter sets out the basis on which we will act.</w:t>
      </w:r>
    </w:p>
    <w:p>
      <w:pPr>
        <w:spacing w:after="120" w:before="200"/>
      </w:pPr>
      <w:r>
        <w:rPr>
          <w:b/>
          <w:sz w:val="26"/>
        </w:rPr>
        <w:t>1.  Scope of our engagement</w:t>
      </w:r>
    </w:p>
    <w:p>
      <w:pPr>
        <w:spacing w:after="120"/>
      </w:pPr>
      <w:r>
        <w:rPr>
          <w:b w:val="0"/>
          <w:i w:val="0"/>
          <w:sz w:val="22"/>
        </w:rPr>
        <w:t>We will advise Verdant on the negotiation, drafting and execution of the principal contractual documents for the engagement, namely: (a) a mutual non-disclosure agreement; (b) a non-binding heads of terms; (c) a Master Software and Services Agreement (the “MSSA”); (d) the implementation and operations Statement of Work; (e) the Service Level Agreement schedule; and (f) the data processing agreement required under UK GDPR. Our advice covers English-law contract, intellectual property, data protection and limitation-of-liability issues arising on those documents.</w:t>
      </w:r>
    </w:p>
    <w:p>
      <w:pPr>
        <w:spacing w:after="120"/>
      </w:pPr>
      <w:r>
        <w:rPr>
          <w:b w:val="0"/>
          <w:i w:val="0"/>
          <w:sz w:val="22"/>
        </w:rPr>
        <w:t>Our engagement does not extend to tax structuring, regulatory advice under the water-industry licensing regime, or competition clearance, on which we will flag if separate advice is required.</w:t>
      </w:r>
    </w:p>
    <w:p>
      <w:pPr>
        <w:spacing w:after="120" w:before="200"/>
      </w:pPr>
      <w:r>
        <w:rPr>
          <w:b/>
          <w:sz w:val="26"/>
        </w:rPr>
        <w:t>2.  Our team</w:t>
      </w:r>
    </w:p>
    <w:p>
      <w:pPr>
        <w:spacing w:after="120"/>
      </w:pPr>
      <w:r>
        <w:rPr>
          <w:b w:val="0"/>
          <w:i w:val="0"/>
          <w:sz w:val="22"/>
        </w:rPr>
        <w:t>The engagement is led by Sarah Whitfield (Partner), supported by James Osei (Senior Associate) and Elena Marchetti (Associate). Day-to-day contact will ordinarily be with James Osei.</w:t>
      </w:r>
    </w:p>
    <w:p>
      <w:pPr>
        <w:spacing w:after="120" w:before="200"/>
      </w:pPr>
      <w:r>
        <w:rPr>
          <w:b/>
          <w:sz w:val="26"/>
        </w:rPr>
        <w:t>3.  Fees and estimate</w:t>
      </w:r>
    </w:p>
    <w:p>
      <w:pPr>
        <w:spacing w:after="120"/>
      </w:pPr>
      <w:r>
        <w:rPr>
          <w:b w:val="0"/>
          <w:i w:val="0"/>
          <w:sz w:val="22"/>
        </w:rPr>
        <w:t>Our charges are based on the time spent by members of the team at our current hourly rates: Partner £695; Senior Associate £485; Associate £360 (each plus VAT). Based on the anticipated scope we estimate our total fees for the matter through to execution at between £48,000 and £62,000 plus VAT and disbursements. We will notify you promptly if it appears the estimate will be exceeded.</w:t>
      </w:r>
    </w:p>
    <w:p>
      <w:pPr>
        <w:spacing w:after="120" w:before="200"/>
      </w:pPr>
      <w:r>
        <w:rPr>
          <w:b/>
          <w:sz w:val="26"/>
        </w:rPr>
        <w:t>4.  Terms of business</w:t>
      </w:r>
    </w:p>
    <w:p>
      <w:pPr>
        <w:spacing w:after="120"/>
      </w:pPr>
      <w:r>
        <w:rPr>
          <w:b w:val="0"/>
          <w:i w:val="0"/>
          <w:sz w:val="22"/>
        </w:rPr>
        <w:t>Our standard terms of business (enclosed) apply to this engagement. They include provisions on billing, our limitation of liability, confidentiality, file retention and complaints. Please raise any queries on those terms with me before we proceed.</w:t>
      </w:r>
    </w:p>
    <w:p>
      <w:pPr>
        <w:spacing w:after="200"/>
      </w:pPr>
      <w:r>
        <w:rPr>
          <w:b w:val="0"/>
          <w:i w:val="0"/>
          <w:sz w:val="22"/>
        </w:rPr>
        <w:t>We are delighted to be assisting Verdant on Project Lyra. Please countersign and return the enclosed copy of this letter to confirm your acceptance of these terms.</w:t>
      </w:r>
    </w:p>
    <w:p>
      <w:pPr>
        <w:spacing w:after="360"/>
      </w:pPr>
      <w:r>
        <w:rPr>
          <w:b w:val="0"/>
          <w:i w:val="0"/>
          <w:sz w:val="22"/>
        </w:rPr>
        <w:t>Yours sincerely</w:t>
      </w:r>
    </w:p>
    <w:p>
      <w:pPr>
        <w:spacing w:after="0"/>
      </w:pPr>
      <w:r>
        <w:rPr>
          <w:b/>
          <w:i w:val="0"/>
          <w:sz w:val="22"/>
        </w:rPr>
        <w:t>Sarah Whitfield</w:t>
      </w:r>
    </w:p>
    <w:p>
      <w:pPr>
        <w:spacing w:after="0"/>
      </w:pPr>
      <w:r>
        <w:rPr>
          <w:b w:val="0"/>
          <w:i w:val="0"/>
          <w:sz w:val="22"/>
        </w:rPr>
        <w:t>Partner, for and on behalf of Whitfield Carter LLP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5"/>
      </w:rPr>
      <w:t>Whitfield Carter LLP is a limited liability partnership registered in England and Wales (OC418827). A list of members is available at the registered office. Authorised and regulated by the Solicitors Regulation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