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PROJECT LYRA</w:t>
      </w:r>
    </w:p>
    <w:p>
      <w:pPr>
        <w:spacing w:after="40"/>
        <w:jc w:val="center"/>
      </w:pPr>
      <w:r>
        <w:rPr>
          <w:b/>
          <w:i w:val="0"/>
          <w:sz w:val="24"/>
        </w:rPr>
        <w:t>HEADS OF TERMS – SOFTWARE LICENSING &amp; MANAGED SERVICES</w:t>
      </w:r>
    </w:p>
    <w:p>
      <w:pPr>
        <w:spacing w:after="200"/>
        <w:jc w:val="center"/>
      </w:pPr>
      <w:r>
        <w:rPr>
          <w:b w:val="0"/>
          <w:i/>
          <w:sz w:val="22"/>
        </w:rPr>
        <w:t>(Subject to Contract – Not Legally Binding save for clauses 9–11)</w:t>
      </w:r>
    </w:p>
    <w:p>
      <w:pPr>
        <w:spacing w:after="240"/>
        <w:jc w:val="center"/>
      </w:pPr>
      <w:r>
        <w:rPr>
          <w:b w:val="0"/>
          <w:i w:val="0"/>
          <w:sz w:val="22"/>
        </w:rPr>
        <w:t>Dated 30 September 2025</w:t>
      </w:r>
    </w:p>
    <w:p>
      <w:pPr>
        <w:spacing w:after="160"/>
      </w:pPr>
      <w:r>
        <w:rPr>
          <w:b w:val="0"/>
          <w:i w:val="0"/>
          <w:sz w:val="22"/>
        </w:rPr>
        <w:t>These heads of terms record the principal commercial terms on which Verdant Energy Systems Limited (“Verdant”) and Pennland Water plc (“Pennland”) propose to contract. They are non-binding and subject to contract, save for clauses 9 to 11 which are binding.</w:t>
      </w:r>
    </w:p>
    <w:p>
      <w:pPr>
        <w:spacing w:after="120"/>
      </w:pPr>
      <w:r>
        <w:rPr>
          <w:b/>
        </w:rPr>
        <w:t>1.</w:t>
        <w:tab/>
      </w:r>
      <w:r>
        <w:rPr>
          <w:b/>
        </w:rPr>
        <w:t xml:space="preserve">Subject matter. </w:t>
      </w:r>
      <w:r>
        <w:t>Verdant to license the Aurora Grid Intelligence Platform (the “Platform”) to Pennland and to provide implementation, integration and managed battery-optimisation services across 11 of Pennland’s water and wastewater treatment sites, covering approximately 24 MW of behind-the-meter battery energy storage.</w:t>
      </w:r>
    </w:p>
    <w:p>
      <w:pPr>
        <w:spacing w:after="120"/>
      </w:pPr>
      <w:r>
        <w:rPr>
          <w:b/>
        </w:rPr>
        <w:t>2.</w:t>
        <w:tab/>
      </w:r>
      <w:r>
        <w:rPr>
          <w:b/>
        </w:rPr>
        <w:t xml:space="preserve">Structure. </w:t>
      </w:r>
      <w:r>
        <w:t>A Master Software and Services Agreement (“MSSA”) with: SOW-1 (Implementation &amp; Operations); a Service Level Agreement schedule; a Charges schedule; and a UK GDPR data processing agreement.</w:t>
      </w:r>
    </w:p>
    <w:p>
      <w:pPr>
        <w:spacing w:after="120"/>
      </w:pPr>
      <w:r>
        <w:rPr>
          <w:b/>
        </w:rPr>
        <w:t>3.</w:t>
        <w:tab/>
      </w:r>
      <w:r>
        <w:rPr>
          <w:b/>
        </w:rPr>
        <w:t xml:space="preserve">Initial term. </w:t>
      </w:r>
      <w:r>
        <w:t>5 years from the Effective Date, then automatically renewing for successive 12-month periods unless terminated on 6 months’ notice.</w:t>
      </w:r>
    </w:p>
    <w:p>
      <w:pPr>
        <w:spacing w:after="120"/>
      </w:pPr>
      <w:r>
        <w:rPr>
          <w:b/>
        </w:rPr>
        <w:t>4.</w:t>
        <w:tab/>
      </w:r>
      <w:r>
        <w:rPr>
          <w:b/>
        </w:rPr>
        <w:t xml:space="preserve">Charges. </w:t>
      </w:r>
      <w:r>
        <w:t>One-off implementation fee of £185,000; annual Platform subscription of £312,000; annual managed-optimisation (O&amp;M) charge of £96,000; plus a shared-savings fee equal to 18% of verified energy-cost savings achieved above the agreed baseline. Annual fee uplift to be RPI-linked and capped (to be agreed).</w:t>
      </w:r>
    </w:p>
    <w:p>
      <w:pPr>
        <w:spacing w:after="120"/>
      </w:pPr>
      <w:r>
        <w:rPr>
          <w:b/>
        </w:rPr>
        <w:t>5.</w:t>
        <w:tab/>
      </w:r>
      <w:r>
        <w:rPr>
          <w:b/>
        </w:rPr>
        <w:t xml:space="preserve">Service levels. </w:t>
      </w:r>
      <w:r>
        <w:t>Target Platform availability of 99.5% (to be finalised in the SLA), with service credits for shortfalls.</w:t>
      </w:r>
    </w:p>
    <w:p>
      <w:pPr>
        <w:spacing w:after="120"/>
      </w:pPr>
      <w:r>
        <w:rPr>
          <w:b/>
        </w:rPr>
        <w:t>6.</w:t>
        <w:tab/>
      </w:r>
      <w:r>
        <w:rPr>
          <w:b/>
        </w:rPr>
        <w:t xml:space="preserve">IP. </w:t>
      </w:r>
      <w:r>
        <w:t>Verdant retains all IP in the Platform and grants Pennland a non-exclusive, non-transferable licence for the term. Pennland retains its site and energy-consumption data; Verdant may use anonymised and aggregated data to improve the Platform.</w:t>
      </w:r>
    </w:p>
    <w:p>
      <w:pPr>
        <w:spacing w:after="120"/>
      </w:pPr>
      <w:r>
        <w:rPr>
          <w:b/>
        </w:rPr>
        <w:t>7.</w:t>
        <w:tab/>
      </w:r>
      <w:r>
        <w:rPr>
          <w:b/>
        </w:rPr>
        <w:t xml:space="preserve">Liability. </w:t>
      </w:r>
      <w:r>
        <w:t>Mutual liability cap to be agreed in the MSSA, with the usual carve-outs (death/personal injury, fraud, IP indemnity and confidentiality).</w:t>
      </w:r>
    </w:p>
    <w:p>
      <w:pPr>
        <w:spacing w:after="120"/>
      </w:pPr>
      <w:r>
        <w:rPr>
          <w:b/>
        </w:rPr>
        <w:t>8.</w:t>
        <w:tab/>
      </w:r>
      <w:r>
        <w:rPr>
          <w:b/>
        </w:rPr>
        <w:t xml:space="preserve">Data protection. </w:t>
      </w:r>
      <w:r>
        <w:t>Pennland is controller and Verdant processor in respect of personal data; a UK GDPR-compliant DPA to be entered into.</w:t>
      </w:r>
    </w:p>
    <w:p>
      <w:pPr>
        <w:spacing w:after="120"/>
      </w:pPr>
      <w:r>
        <w:rPr>
          <w:b/>
        </w:rPr>
        <w:t>9.</w:t>
        <w:tab/>
      </w:r>
      <w:r>
        <w:rPr>
          <w:b/>
        </w:rPr>
        <w:t xml:space="preserve">Exclusivity (binding). </w:t>
      </w:r>
      <w:r>
        <w:t>For 60 days from the date of these heads of terms, Pennland will negotiate exclusively with Verdant in respect of the subject matter.</w:t>
      </w:r>
    </w:p>
    <w:p>
      <w:pPr>
        <w:spacing w:after="120"/>
      </w:pPr>
      <w:r>
        <w:rPr>
          <w:b/>
        </w:rPr>
        <w:t>10.</w:t>
        <w:tab/>
      </w:r>
      <w:r>
        <w:rPr>
          <w:b/>
        </w:rPr>
        <w:t xml:space="preserve">Confidentiality (binding). </w:t>
      </w:r>
      <w:r>
        <w:t>The mutual NDA dated 18 September 2025 continues to apply.</w:t>
      </w:r>
    </w:p>
    <w:p>
      <w:pPr>
        <w:spacing w:after="120"/>
      </w:pPr>
      <w:r>
        <w:rPr>
          <w:b/>
        </w:rPr>
        <w:t>11.</w:t>
        <w:tab/>
      </w:r>
      <w:r>
        <w:rPr>
          <w:b/>
        </w:rPr>
        <w:t xml:space="preserve">Costs &amp; governing law (binding). </w:t>
      </w:r>
      <w:r>
        <w:t>Each Party bears its own costs. These heads of terms are governed by the laws of England and Wales.</w:t>
      </w:r>
    </w:p>
    <w:p>
      <w:pPr>
        <w:spacing w:after="280" w:before="240"/>
      </w:pPr>
      <w:r>
        <w:rPr>
          <w:b/>
          <w:i w:val="0"/>
          <w:sz w:val="22"/>
        </w:rPr>
        <w:t>Agreed (subject to contract):</w:t>
      </w:r>
    </w:p>
    <w:p>
      <w:pPr>
        <w:spacing w:after="160"/>
      </w:pPr>
      <w:r>
        <w:rPr>
          <w:b w:val="0"/>
          <w:i w:val="0"/>
          <w:sz w:val="22"/>
        </w:rPr>
        <w:t>For Verdant: ...................   Dr Helena Voss, Chief Executive Officer</w:t>
      </w:r>
    </w:p>
    <w:p>
      <w:pPr>
        <w:spacing w:after="120"/>
      </w:pPr>
      <w:r>
        <w:rPr>
          <w:b w:val="0"/>
          <w:i w:val="0"/>
          <w:sz w:val="22"/>
        </w:rPr>
        <w:t>For Pennland: ...................   Geoffrey Marwood, Chief Operating Officer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