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SERVICE LEVEL AGREEMENT (SCHEDULE 3)</w:t>
      </w:r>
    </w:p>
    <w:p>
      <w:pPr>
        <w:spacing w:after="40"/>
        <w:jc w:val="center"/>
      </w:pPr>
      <w:r>
        <w:rPr>
          <w:b w:val="0"/>
          <w:i/>
          <w:sz w:val="22"/>
        </w:rPr>
        <w:t>Project Lyra – Aurora Grid Intelligence Platform</w:t>
      </w:r>
    </w:p>
    <w:p>
      <w:pPr>
        <w:spacing w:after="240"/>
        <w:jc w:val="center"/>
      </w:pPr>
      <w:r>
        <w:rPr>
          <w:b w:val="0"/>
          <w:i w:val="0"/>
          <w:sz w:val="18"/>
        </w:rPr>
        <w:t>Forming part of the MSSA between Verdant Energy Systems Limited and Pennland Water plc</w:t>
      </w:r>
    </w:p>
    <w:p>
      <w:pPr>
        <w:spacing w:after="200"/>
        <w:jc w:val="center"/>
      </w:pPr>
      <w:r>
        <w:rPr>
          <w:b w:val="0"/>
          <w:i w:val="0"/>
          <w:sz w:val="18"/>
        </w:rPr>
        <w:t>FINAL – agreed 12 December 2025</w:t>
      </w:r>
    </w:p>
    <w:p>
      <w:pPr>
        <w:spacing w:before="80" w:after="120"/>
      </w:pPr>
      <w:r>
        <w:rPr>
          <w:b/>
          <w:sz w:val="26"/>
        </w:rPr>
        <w:t>1.  Platform availability</w:t>
      </w:r>
    </w:p>
    <w:p>
      <w:pPr>
        <w:spacing w:after="120"/>
      </w:pPr>
      <w:r>
        <w:rPr>
          <w:b/>
        </w:rPr>
        <w:t xml:space="preserve">1.1  </w:t>
      </w:r>
      <w:r>
        <w:t>Verdant shall make the Platform available for at least 99.7% of each calendar month (the “Availability Target”), measured 24/7 and excluding Permitted Downtime.</w:t>
      </w:r>
    </w:p>
    <w:p>
      <w:pPr>
        <w:spacing w:after="120"/>
      </w:pPr>
      <w:r>
        <w:rPr>
          <w:b/>
        </w:rPr>
        <w:t xml:space="preserve">1.2  </w:t>
      </w:r>
      <w:r>
        <w:t>“Permitted Downtime” means: (a) scheduled maintenance notified at least 5 business days in advance and carried out within the agreed maintenance window; (b) emergency maintenance reasonably required to preserve security or integrity; and (c) downtime caused by a Customer Dependency failure or force majeure.</w:t>
      </w:r>
    </w:p>
    <w:p>
      <w:pPr>
        <w:spacing w:before="240" w:after="120"/>
      </w:pPr>
      <w:r>
        <w:rPr>
          <w:b/>
          <w:sz w:val="26"/>
        </w:rPr>
        <w:t>2.  Incident priorities and response</w:t>
      </w:r>
    </w:p>
    <w:p>
      <w:pPr>
        <w:spacing w:after="120"/>
      </w:pPr>
      <w:r>
        <w:rPr>
          <w:b/>
        </w:rPr>
        <w:t xml:space="preserve">P1 – Critical.  </w:t>
      </w:r>
      <w:r>
        <w:t>Platform wholly unavailable or battery dispatch suspended across multiple Sites. Response target: 1 hour; resolution target: 8 hours.</w:t>
      </w:r>
    </w:p>
    <w:p>
      <w:pPr>
        <w:spacing w:after="120"/>
      </w:pPr>
      <w:r>
        <w:rPr>
          <w:b/>
        </w:rPr>
        <w:t xml:space="preserve">P2 – High.  </w:t>
      </w:r>
      <w:r>
        <w:t>Major function impaired; single Site dispatch affected. Response target: 2 hours; resolution target: 1 business day.</w:t>
      </w:r>
    </w:p>
    <w:p>
      <w:pPr>
        <w:spacing w:after="120"/>
      </w:pPr>
      <w:r>
        <w:rPr>
          <w:b/>
        </w:rPr>
        <w:t xml:space="preserve">P3 – Medium.  </w:t>
      </w:r>
      <w:r>
        <w:t>Minor function impaired; workaround available. Response target: 1 business day; resolution target: 5 business days.</w:t>
      </w:r>
    </w:p>
    <w:p>
      <w:pPr>
        <w:spacing w:after="120"/>
      </w:pPr>
      <w:r>
        <w:rPr>
          <w:b/>
        </w:rPr>
        <w:t xml:space="preserve">P4 – Low.  </w:t>
      </w:r>
      <w:r>
        <w:t>Cosmetic or query. Response target: 2 business days; resolution target: Next release.</w:t>
      </w:r>
    </w:p>
    <w:p>
      <w:pPr>
        <w:spacing w:before="240" w:after="120"/>
      </w:pPr>
      <w:r>
        <w:rPr>
          <w:b/>
          <w:sz w:val="26"/>
        </w:rPr>
        <w:t>3.  Service credits</w:t>
      </w:r>
    </w:p>
    <w:p>
      <w:pPr>
        <w:spacing w:after="120"/>
      </w:pPr>
      <w:r>
        <w:rPr>
          <w:b/>
        </w:rPr>
        <w:t xml:space="preserve">3.1  </w:t>
      </w:r>
      <w:r>
        <w:t>If monthly availability falls below the Availability Target of 99.7%, the Customer is entitled to service credits against the quarterly Platform subscription Charges as follows:</w:t>
      </w:r>
    </w:p>
    <w:p>
      <w:pPr>
        <w:spacing w:after="40"/>
      </w:pPr>
      <w:r>
        <w:rPr>
          <w:b w:val="0"/>
          <w:i w:val="0"/>
          <w:sz w:val="22"/>
        </w:rPr>
        <w:t xml:space="preserve">   •  Monthly availability 99.7% to 99.0%: service credit of 2% of the quarterly subscription Charge.</w:t>
      </w:r>
    </w:p>
    <w:p>
      <w:pPr>
        <w:spacing w:after="40"/>
      </w:pPr>
      <w:r>
        <w:rPr>
          <w:b w:val="0"/>
          <w:i w:val="0"/>
          <w:sz w:val="22"/>
        </w:rPr>
        <w:t xml:space="preserve">   •  Monthly availability Below 99.0% to 98.0%: service credit of 5% of the quarterly subscription Charge.</w:t>
      </w:r>
    </w:p>
    <w:p>
      <w:pPr>
        <w:spacing w:after="40"/>
      </w:pPr>
      <w:r>
        <w:rPr>
          <w:b w:val="0"/>
          <w:i w:val="0"/>
          <w:sz w:val="22"/>
        </w:rPr>
        <w:t xml:space="preserve">   •  Monthly availability Below 98.0% to 97.0%: service credit of 8% of the quarterly subscription Charge.</w:t>
      </w:r>
    </w:p>
    <w:p>
      <w:pPr>
        <w:spacing w:after="40"/>
      </w:pPr>
      <w:r>
        <w:rPr>
          <w:b w:val="0"/>
          <w:i w:val="0"/>
          <w:sz w:val="22"/>
        </w:rPr>
        <w:t xml:space="preserve">   •  Monthly availability Below 97.0%: service credit of 10% of the quarterly subscription Charge.</w:t>
      </w:r>
    </w:p>
    <w:p>
      <w:pPr>
        <w:spacing w:after="120"/>
      </w:pPr>
      <w:r>
        <w:rPr>
          <w:b/>
        </w:rPr>
        <w:t xml:space="preserve">3.2  </w:t>
      </w:r>
      <w:r>
        <w:t>Total service credits in any quarter are capped at 10% of the Platform subscription Charges for that quarter. Service credits are the Customer’s sole financial remedy for failure to meet the Availability Target, without prejudice to the Customer’s right to terminate for material breach.</w:t>
      </w:r>
    </w:p>
    <w:p>
      <w:pPr>
        <w:spacing w:before="240" w:after="120"/>
      </w:pPr>
      <w:r>
        <w:rPr>
          <w:b/>
          <w:sz w:val="26"/>
        </w:rPr>
        <w:t>4.  Support and reporting</w:t>
      </w:r>
    </w:p>
    <w:p>
      <w:pPr>
        <w:spacing w:after="120"/>
      </w:pPr>
      <w:r>
        <w:rPr>
          <w:b w:val="0"/>
          <w:i w:val="0"/>
          <w:sz w:val="22"/>
        </w:rPr>
        <w:t>Verdant provides 24/7 monitoring of battery dispatch and a support desk operating 08:00–18:00 on business days, with on-call cover for P1 incidents outside those hours. Verdant will provide a monthly service report covering availability achieved, incidents, and verified Energy Savings to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