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STATEMENT OF WORK – SOW-1</w:t>
      </w:r>
    </w:p>
    <w:p>
      <w:pPr>
        <w:spacing w:after="40"/>
        <w:jc w:val="center"/>
      </w:pPr>
      <w:r>
        <w:rPr>
          <w:b w:val="0"/>
          <w:i/>
          <w:sz w:val="22"/>
        </w:rPr>
        <w:t>Implementation &amp; Operations – Project Lyra</w:t>
      </w:r>
    </w:p>
    <w:p>
      <w:pPr>
        <w:spacing w:after="240"/>
        <w:jc w:val="center"/>
      </w:pPr>
      <w:r>
        <w:rPr>
          <w:b w:val="0"/>
          <w:i w:val="0"/>
          <w:sz w:val="18"/>
        </w:rPr>
        <w:t>Issued under the Master Software and Services Agreement between Verdant Energy Systems Limited and Pennland Water plc</w:t>
      </w:r>
    </w:p>
    <w:p>
      <w:pPr>
        <w:spacing w:after="240"/>
        <w:jc w:val="center"/>
      </w:pPr>
      <w:r>
        <w:rPr>
          <w:b w:val="0"/>
          <w:i w:val="0"/>
          <w:sz w:val="18"/>
        </w:rPr>
        <w:t>Version 1.0  |  Dated 12 December 2025</w:t>
      </w:r>
    </w:p>
    <w:p>
      <w:pPr>
        <w:spacing w:before="80" w:after="120"/>
      </w:pPr>
      <w:r>
        <w:rPr>
          <w:b/>
          <w:sz w:val="26"/>
        </w:rPr>
        <w:t>1.  Purpose and scope</w:t>
      </w:r>
    </w:p>
    <w:p>
      <w:pPr>
        <w:spacing w:after="120"/>
      </w:pPr>
      <w:r>
        <w:rPr>
          <w:b w:val="0"/>
          <w:i w:val="0"/>
          <w:sz w:val="22"/>
        </w:rPr>
        <w:t>This SOW-1 sets out the scope, deliverables, milestones, charges and measurement-and-verification methodology for the implementation of the Aurora Grid Intelligence Platform and the managed-optimisation Services across the Customer’s 11 Sites listed in Schedule 1 to the MSSA, covering approximately 24 MW of behind-the-meter battery energy storage. Capitalised terms used but not defined here have the meanings given in the MSSA.</w:t>
      </w:r>
    </w:p>
    <w:p>
      <w:pPr>
        <w:spacing w:before="240" w:after="120"/>
      </w:pPr>
      <w:r>
        <w:rPr>
          <w:b/>
          <w:sz w:val="26"/>
        </w:rPr>
        <w:t>2.  Implementation workstreams</w:t>
      </w:r>
    </w:p>
    <w:p>
      <w:pPr>
        <w:spacing w:after="120"/>
      </w:pPr>
      <w:r>
        <w:rPr>
          <w:b/>
        </w:rPr>
        <w:t xml:space="preserve">2.1  </w:t>
      </w:r>
      <w:r>
        <w:t>Discovery &amp; baseline. Verdant will collect 12 months of half-hourly metering and energy-cost data for each Site and establish the verified energy-cost Baseline against which Energy Savings are measured.</w:t>
      </w:r>
    </w:p>
    <w:p>
      <w:pPr>
        <w:spacing w:after="120"/>
      </w:pPr>
      <w:r>
        <w:rPr>
          <w:b/>
        </w:rPr>
        <w:t xml:space="preserve">2.2  </w:t>
      </w:r>
      <w:r>
        <w:t>Integration. Verdant will integrate the Platform with the Customer’s metering, SCADA and battery management systems via secure API connections, and configure dispatch and optimisation rulesets per Site.</w:t>
      </w:r>
    </w:p>
    <w:p>
      <w:pPr>
        <w:spacing w:after="120"/>
      </w:pPr>
      <w:r>
        <w:rPr>
          <w:b/>
        </w:rPr>
        <w:t xml:space="preserve">2.3  </w:t>
      </w:r>
      <w:r>
        <w:t>Onboarding &amp; testing. Verdant will onboard each Site in waves, conduct functional and security testing, and run a 30-day parallel-run before each Site goes into managed operation.</w:t>
      </w:r>
    </w:p>
    <w:p>
      <w:pPr>
        <w:spacing w:after="120"/>
      </w:pPr>
      <w:r>
        <w:rPr>
          <w:b/>
        </w:rPr>
        <w:t xml:space="preserve">2.4  </w:t>
      </w:r>
      <w:r>
        <w:t>Training &amp; go-live. Verdant will train up to 20 Authorised Users and provide go-live support.</w:t>
      </w:r>
    </w:p>
    <w:p>
      <w:pPr>
        <w:spacing w:before="240" w:after="120"/>
      </w:pPr>
      <w:r>
        <w:rPr>
          <w:b/>
          <w:sz w:val="26"/>
        </w:rPr>
        <w:t>3.  Milestones and acceptance</w:t>
      </w:r>
    </w:p>
    <w:p>
      <w:pPr>
        <w:spacing w:after="120"/>
      </w:pPr>
      <w:r>
        <w:rPr>
          <w:b/>
        </w:rPr>
        <w:t xml:space="preserve">M1.  </w:t>
      </w:r>
      <w:r>
        <w:t>Project kick-off and data access established — target: Effective Date + 2 weeks.</w:t>
      </w:r>
    </w:p>
    <w:p>
      <w:pPr>
        <w:spacing w:after="120"/>
      </w:pPr>
      <w:r>
        <w:rPr>
          <w:b/>
        </w:rPr>
        <w:t xml:space="preserve">M2.  </w:t>
      </w:r>
      <w:r>
        <w:t>Baseline established and signed off for all Sites — target: Effective Date + 8 weeks.</w:t>
      </w:r>
    </w:p>
    <w:p>
      <w:pPr>
        <w:spacing w:after="120"/>
      </w:pPr>
      <w:r>
        <w:rPr>
          <w:b/>
        </w:rPr>
        <w:t xml:space="preserve">M3.  </w:t>
      </w:r>
      <w:r>
        <w:t>Platform integrated and first wave (4 Sites) live — target: Effective Date + 14 weeks.</w:t>
      </w:r>
    </w:p>
    <w:p>
      <w:pPr>
        <w:spacing w:after="120"/>
      </w:pPr>
      <w:r>
        <w:rPr>
          <w:b/>
        </w:rPr>
        <w:t xml:space="preserve">M4.  </w:t>
      </w:r>
      <w:r>
        <w:t>All Sites integrated and in managed operation — target: Effective Date + 22 weeks.</w:t>
      </w:r>
    </w:p>
    <w:p>
      <w:pPr>
        <w:spacing w:after="120"/>
      </w:pPr>
      <w:r>
        <w:rPr>
          <w:b/>
        </w:rPr>
        <w:t xml:space="preserve">M5.  </w:t>
      </w:r>
      <w:r>
        <w:t>Implementation acceptance and transition to BAU — target: Effective Date + 24 weeks.</w:t>
      </w:r>
    </w:p>
    <w:p>
      <w:pPr>
        <w:spacing w:after="120"/>
      </w:pPr>
      <w:r>
        <w:rPr>
          <w:b w:val="0"/>
          <w:i w:val="0"/>
          <w:sz w:val="22"/>
        </w:rPr>
        <w:t>Each milestone is subject to written acceptance by the Customer, such acceptance not to be unreasonably withheld or delayed. A milestone is deemed accepted if the Customer does not raise written, reasonable grounds for rejection within 10 business days of Verdant’s notice of completion.</w:t>
      </w:r>
    </w:p>
    <w:p>
      <w:pPr>
        <w:spacing w:before="240" w:after="120"/>
      </w:pPr>
      <w:r>
        <w:rPr>
          <w:b/>
          <w:sz w:val="26"/>
        </w:rPr>
        <w:t>4.  Measurement &amp; verification (M&amp;V)</w:t>
      </w:r>
    </w:p>
    <w:p>
      <w:pPr>
        <w:spacing w:after="120"/>
      </w:pPr>
      <w:r>
        <w:rPr>
          <w:b w:val="0"/>
          <w:i w:val="0"/>
          <w:sz w:val="22"/>
        </w:rPr>
        <w:t>Energy Savings are calculated monthly as the difference between (a) the Baseline-adjusted expected energy cost for the relevant Sites, normalised for production volume, weather and tariff changes using the IPMVP Option C (whole-facility) methodology, and (b) the actual energy cost incurred. Verified annual Energy Savings drive the 18% shared-savings fee in Schedule 2 of the MSSA.</w:t>
      </w:r>
    </w:p>
    <w:p>
      <w:pPr>
        <w:spacing w:before="240" w:after="120"/>
      </w:pPr>
      <w:r>
        <w:rPr>
          <w:b/>
          <w:sz w:val="26"/>
        </w:rPr>
        <w:t>5.  Charges specific to SOW-1</w:t>
      </w:r>
    </w:p>
    <w:p>
      <w:pPr>
        <w:spacing w:after="120"/>
      </w:pPr>
      <w:r>
        <w:rPr>
          <w:b w:val="0"/>
          <w:i w:val="0"/>
          <w:sz w:val="22"/>
        </w:rPr>
        <w:t>Implementation fee: £185,000 (excl. VAT), invoiced in two equal instalments of £92,500 at kick-off (M1) and on implementation acceptance (M5). Ongoing Platform subscription (£312,000 p.a.) and managed-optimisation charges (£96,000 p.a.) are as set out in Schedule 2 of the MSSA and are not duplicated here.</w:t>
      </w:r>
    </w:p>
    <w:p>
      <w:pPr>
        <w:spacing w:before="240" w:after="120"/>
      </w:pPr>
      <w:r>
        <w:rPr>
          <w:b/>
          <w:sz w:val="26"/>
        </w:rPr>
        <w:t>6.  Customer dependencies</w:t>
      </w:r>
    </w:p>
    <w:p>
      <w:pPr>
        <w:spacing w:after="120"/>
      </w:pPr>
      <w:r>
        <w:rPr>
          <w:b w:val="0"/>
          <w:i w:val="0"/>
          <w:sz w:val="22"/>
        </w:rPr>
        <w:t>The Customer will provide: timely access to metering and SCADA data; safe site access for commissioning; a nominated project sponsor and technical point of contact; and approval of dispatch parameters that affect site operations. Delay in meeting these dependencies may extend the milestone dates accordingly.</w:t>
      </w:r>
    </w:p>
    <w:p>
      <w:pPr>
        <w:spacing w:after="240" w:before="240"/>
      </w:pPr>
      <w:r>
        <w:rPr>
          <w:b/>
          <w:i w:val="0"/>
          <w:sz w:val="22"/>
        </w:rPr>
        <w:t>Agreed for and on behalf of the Parties:</w:t>
      </w:r>
    </w:p>
    <w:p>
      <w:pPr>
        <w:spacing w:after="160"/>
      </w:pPr>
      <w:r>
        <w:rPr>
          <w:b w:val="0"/>
          <w:i w:val="0"/>
          <w:sz w:val="22"/>
        </w:rPr>
        <w:t>Verdant: ..................   Marcus Calder, Chief Technology Officer</w:t>
      </w:r>
    </w:p>
    <w:p>
      <w:pPr>
        <w:spacing w:after="120"/>
      </w:pPr>
      <w:r>
        <w:rPr>
          <w:b w:val="0"/>
          <w:i w:val="0"/>
          <w:sz w:val="22"/>
        </w:rPr>
        <w:t>Pennland: ..................   Daniel Pryce, Head of Energy &amp; Net Zero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