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b/>
          <w:bCs/>
          <w:color w:val="1F3864"/>
          <w:sz w:val="28"/>
          <w:szCs w:val="28"/>
        </w:rPr>
        <w:t xml:space="preserve">Whitfield Carter LLP</w:t>
      </w:r>
    </w:p>
    <w:p>
      <w:pPr>
        <w:spacing w:after="0"/>
        <w:jc w:val="left"/>
      </w:pPr>
      <w:r>
        <w:rPr>
          <w:color w:val="555555"/>
          <w:sz w:val="18"/>
          <w:szCs w:val="18"/>
        </w:rPr>
        <w:t xml:space="preserve">22 Bishopsgate, London EC2N 4BQ</w:t>
      </w:r>
    </w:p>
    <w:p>
      <w:pPr>
        <w:pBdr>
          <w:bottom w:val="single" w:color="1F3864" w:sz="6" w:space="6"/>
        </w:pBdr>
        <w:spacing w:after="160"/>
        <w:jc w:val="left"/>
      </w:pPr>
      <w:r>
        <w:rPr>
          <w:color w:val="555555"/>
          <w:sz w:val="16"/>
          <w:szCs w:val="16"/>
        </w:rPr>
        <w:t xml:space="preserve">T +44 (0)20 7946 0500   |   www.whitfieldcarter.com   |   Regulated by the SRA</w:t>
      </w:r>
    </w:p>
    <w:p>
      <w:pPr>
        <w:spacing w:after="80"/>
      </w:pPr>
      <w:r>
        <w:rPr>
          <w:b/>
          <w:bCs/>
        </w:rPr>
        <w:t xml:space="preserve">STRICTLY PRIVATE AND CONFIDENTIAL</w:t>
      </w:r>
    </w:p>
    <w:p>
      <w:pPr>
        <w:spacing w:after="120" w:line="276"/>
        <w:jc w:val="left"/>
      </w:pPr>
      <w:r>
        <w:t xml:space="preserve">To: Calderbrook Growth Partners LLP and Ravensworth Ventures LLP (together, the Investors)</w:t>
      </w:r>
    </w:p>
    <w:p>
      <w:pPr>
        <w:spacing w:after="120" w:line="276"/>
        <w:jc w:val="left"/>
      </w:pPr>
      <w:r>
        <w:t xml:space="preserve">From: Verdant Energy Systems Limited and the Founders (together, the Warrantors)</w:t>
      </w:r>
    </w:p>
    <w:p>
      <w:pPr>
        <w:spacing w:after="120" w:line="276"/>
        <w:jc w:val="left"/>
      </w:pPr>
      <w:r>
        <w:t xml:space="preserve">Date: [          ] 2026</w:t>
      </w:r>
    </w:p>
    <w:p>
      <w:pPr>
        <w:spacing w:after="120" w:line="276"/>
        <w:jc w:val="left"/>
      </w:pPr>
      <w:r>
        <w:t xml:space="preserve">Dear Sirs</w:t>
      </w:r>
    </w:p>
    <w:p>
      <w:pPr>
        <w:spacing w:after="120"/>
      </w:pPr>
      <w:r>
        <w:rPr>
          <w:b/>
          <w:bCs/>
        </w:rPr>
        <w:t xml:space="preserve">Project Onyx — Series B Subscription and Shareholders' Agreement — Disclosure Letter</w:t>
      </w:r>
    </w:p>
    <w:p>
      <w:pPr>
        <w:spacing w:after="120" w:line="276"/>
        <w:jc w:val="left"/>
      </w:pPr>
      <w:r>
        <w:t xml:space="preserve">This is the Disclosure Letter referred to in the Subscription and Shareholders' Agreement of even date (the “Agreement”) between, among others, the Warrantors and the Investors. Words and expressions defined in the Agreement have the same meaning in this letter. This letter is given subject to the limitations on liability set out in Schedule 5 of the Agreement.</w:t>
      </w:r>
    </w:p>
    <w:p>
      <w:pPr>
        <w:pStyle w:val="Heading1"/>
      </w:pPr>
      <w:r>
        <w:t xml:space="preserve">1.   GENERAL DISCLOSURES</w:t>
      </w:r>
    </w:p>
    <w:p>
      <w:pPr>
        <w:spacing w:after="120" w:line="276"/>
        <w:jc w:val="left"/>
      </w:pPr>
      <w:r>
        <w:t xml:space="preserve">The Warranties are given subject to, and qualified by, the following matters, which are deemed disclosed to the Investors:</w:t>
      </w:r>
    </w:p>
    <w:p>
      <w:pPr>
        <w:pStyle w:val="ListParagraph"/>
        <w:numPr>
          <w:ilvl w:val="0"/>
          <w:numId w:val="2"/>
        </w:numPr>
        <w:spacing w:after="80" w:line="276"/>
        <w:jc w:val="both"/>
      </w:pPr>
      <w:r>
        <w:t xml:space="preserve">all matters provided for or noted in the Accounts and the notes to them;</w:t>
      </w:r>
    </w:p>
    <w:p>
      <w:pPr>
        <w:pStyle w:val="ListParagraph"/>
        <w:numPr>
          <w:ilvl w:val="0"/>
          <w:numId w:val="2"/>
        </w:numPr>
        <w:spacing w:after="80" w:line="276"/>
        <w:jc w:val="both"/>
      </w:pPr>
      <w:r>
        <w:t xml:space="preserve">all matters which would be revealed by a search of the public registers maintained by Companies House, the Intellectual Property Office, HM Land Registry and the courts in the seven days before the date of this letter;</w:t>
      </w:r>
    </w:p>
    <w:p>
      <w:pPr>
        <w:pStyle w:val="ListParagraph"/>
        <w:numPr>
          <w:ilvl w:val="0"/>
          <w:numId w:val="2"/>
        </w:numPr>
        <w:spacing w:after="80" w:line="276"/>
        <w:jc w:val="both"/>
      </w:pPr>
      <w:r>
        <w:t xml:space="preserve">all matters contained in or referred to in the documents in the Disclosure Bundle (the index to which is appended);</w:t>
      </w:r>
    </w:p>
    <w:p>
      <w:pPr>
        <w:pStyle w:val="ListParagraph"/>
        <w:numPr>
          <w:ilvl w:val="0"/>
          <w:numId w:val="2"/>
        </w:numPr>
        <w:spacing w:after="80" w:line="276"/>
        <w:jc w:val="both"/>
      </w:pPr>
      <w:r>
        <w:t xml:space="preserve">all matters fairly disclosed in the data room hosted at Ansarada to which the Investors and their advisers were granted access (the index of which has been agreed).</w:t>
      </w:r>
    </w:p>
    <w:p>
      <w:pPr>
        <w:pStyle w:val="Heading1"/>
      </w:pPr>
      <w:r>
        <w:t xml:space="preserve">2.   SPECIFIC DISCLOSURES</w:t>
      </w:r>
    </w:p>
    <w:p>
      <w:pPr>
        <w:spacing w:after="120" w:line="276"/>
        <w:jc w:val="left"/>
      </w:pPr>
      <w:r>
        <w:t xml:space="preserve">The following specific disclosures are made against the numbered Warranties in Schedule 4 of the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left"/>
            </w:pPr>
            <w:r>
              <w:rPr>
                <w:b/>
                <w:bCs/>
                <w:sz w:val="20"/>
                <w:szCs w:val="20"/>
              </w:rPr>
              <w:t xml:space="preserve">Warranty</w:t>
            </w:r>
          </w:p>
        </w:tc>
        <w:tc>
          <w:tcPr>
            <w:tcW w:type="dxa" w:w="6426"/>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vAlign w:val="center"/>
          </w:tcPr>
          <w:p>
            <w:pPr>
              <w:jc w:val="left"/>
            </w:pPr>
            <w:r>
              <w:rPr>
                <w:b/>
                <w:bCs/>
                <w:sz w:val="20"/>
                <w:szCs w:val="20"/>
              </w:rPr>
              <w:t xml:space="preserve">Disclosure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Warranty 1.3 (Options)</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The Company has granted EMI options over 480,000 Ordinary Shares (6.0% pre-money) to 22 employees under the Verdant Energy Systems EMI Option Scheme adopted on 4 March 2024. A schedule of optionholders, exercise prices (between £2.10 and £7.40) and vesting dates is at tab 3.2 of the Disclosure Bundle.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Warranty 2.3 (Borrowings)</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The Company has an outstanding asset-finance facility with Aldermore Bank plc of £640,000 secured by a fixed and floating charge dated 18 September 2024, and an undrawn £1,500,000 revolving working-capital facility with Barclays Bank PLC. Copies are at tab 4.1.</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Warranty 3.1 (Intellectual Property)</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The Company owns three granted UK patents and two pending PCT applications relating to its battery thermal-management and cell-balancing technology (family references VES-BTM-002 and VES-CB-005). One pending application (VES-CB-005) received a third-party observation on 11 February 2026, which the Company's patent attorneys consider does not affect patentability. Details are at tab 5.1.</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Warranty 3.2 (IP infringement)</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By letter dated 22 January 2026, Northgrid Power Systems Ltd asserted that the Company's “OptiCell” firmware may use a method covered by its EP patent. The Company's advisers (Marks &amp; Clerk) have advised that the assertion is weak and that the Company does not infringe. No proceedings have been issued.</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Warranty 4.1 (Material contracts)</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The Company's supply agreement with Stratton Energy plc dated 9 May 2025 contains a change-of-control provision entitling Stratton to terminate on a change of control of the Company. The Series B financing does not constitute a change of control for these purposes, but the Investors' attention is drawn to it.</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Warranty 5.1 (Employees)</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Full particulars of the four employees earning more than £75,000 per annum (the two Founders, the VP Engineering and the VP Commercial) are at tab 7.1. The VP Commercial is currently serving a notice period and is expected to leave on 31 May 2026; a replacement search is underway.</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b/>
                <w:bCs/>
                <w:sz w:val="20"/>
                <w:szCs w:val="20"/>
              </w:rPr>
              <w:t xml:space="preserve">Warranty 6.3 (Tax)</w:t>
            </w:r>
          </w:p>
        </w:tc>
        <w:tc>
          <w:tcPr>
            <w:tcW w:type="dxa" w:w="6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sz w:val="20"/>
                <w:szCs w:val="20"/>
              </w:rPr>
              <w:t xml:space="preserve">The Company has claimed R&amp;D tax credits in respect of FY2023 and FY2024 totalling £612,000. The FY2024 claim (£341,000) is currently subject to a routine HMRC enquiry opened on 3 December 2025; the Company's accountants consider the claim to be well supported.</w:t>
            </w:r>
          </w:p>
        </w:tc>
      </w:tr>
    </w:tbl>
    <w:p>
      <w:pPr>
        <w:spacing w:after="120" w:line="276"/>
        <w:jc w:val="left"/>
      </w:pPr>
      <w:r>
        <w:t xml:space="preserve">Yours faithfully</w:t>
      </w:r>
    </w:p>
    <w:p>
      <w:pPr>
        <w:spacing w:after="60"/>
      </w:pPr>
      <w:r>
        <w:rPr>
          <w:sz w:val="21"/>
          <w:szCs w:val="21"/>
        </w:rPr>
        <w:t xml:space="preserve">..................................................</w:t>
      </w:r>
    </w:p>
    <w:p>
      <w:pPr>
        <w:spacing w:after="60"/>
      </w:pPr>
      <w:r>
        <w:rPr>
          <w:sz w:val="21"/>
          <w:szCs w:val="21"/>
        </w:rPr>
        <w:t xml:space="preserve">For and on behalf of Verdant Energy Systems Limited and the Founders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026"/>
      </w:tabs>
    </w:pPr>
    <w:r>
      <w:rPr>
        <w:color w:val="777777"/>
        <w:sz w:val="15"/>
        <w:szCs w:val="15"/>
      </w:rPr>
      <w:t xml:space="preserve">Strictly private and confidential</w:t>
    </w:r>
    <w:r>
      <w:rPr>
        <w:sz w:val="15"/>
        <w:szCs w:val="15"/>
      </w:rPr>
      <w:t xml:space="preserve">	</w:t>
    </w:r>
    <w:r>
      <w:rPr>
        <w:color w:val="777777"/>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i/>
        <w:iCs/>
        <w:color w:val="777777"/>
        <w:sz w:val="16"/>
        <w:szCs w:val="16"/>
      </w:rPr>
      <w:t xml:space="preserve">Project Onyx — Disclosure Letter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560"/>
      </w:pPr>
    </w:lvl>
    <w:lvl w:ilvl="1" w15:tentative="1">
      <w:start w:val="1"/>
      <w:numFmt w:val="lowerLetter"/>
      <w:lvlText w:val="(%2)"/>
      <w:lvlJc w:val="left"/>
      <w:pPr>
        <w:ind w:left="1120" w:hanging="560"/>
      </w:pPr>
    </w:lvl>
    <w:lvl w:ilvl="2" w15:tentative="1">
      <w:start w:val="1"/>
      <w:numFmt w:val="lowerRoman"/>
      <w:lvlText w:val="(%3)"/>
      <w:lvlJc w:val="left"/>
      <w:pPr>
        <w:ind w:left="1680" w:hanging="560"/>
      </w:pPr>
    </w:lvl>
  </w:abstractNum>
  <w:abstractNum w:abstractNumId="3" w15:restartNumberingAfterBreak="0">
    <w:multiLevelType w:val="hybridMultilevel"/>
    <w:lvl w:ilvl="0" w15:tentative="1">
      <w:start w:val="1"/>
      <w:numFmt w:val="upperLetter"/>
      <w:lvlText w:val="(%1)"/>
      <w:lvlJc w:val="left"/>
      <w:pPr>
        <w:ind w:left="720" w:hanging="72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2026-06-25T15:46:36.314Z</dcterms:created>
  <dcterms:modified xsi:type="dcterms:W3CDTF">2026-06-25T15:46:36.314Z</dcterms:modified>
</cp:coreProperties>
</file>

<file path=docProps/custom.xml><?xml version="1.0" encoding="utf-8"?>
<Properties xmlns="http://schemas.openxmlformats.org/officeDocument/2006/custom-properties" xmlns:vt="http://schemas.openxmlformats.org/officeDocument/2006/docPropsVTypes"/>
</file>