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THE COMPANIES ACT 2006</w:t>
      </w:r>
    </w:p>
    <w:p>
      <w:pPr>
        <w:spacing w:after="60"/>
        <w:jc w:val="center"/>
      </w:pPr>
      <w:r>
        <w:rPr>
          <w:sz w:val="20"/>
          <w:szCs w:val="20"/>
        </w:rPr>
        <w:t xml:space="preserve">PRIVATE COMPANY LIMITED BY SHARES</w:t>
      </w:r>
    </w:p>
    <w:p>
      <w:pPr>
        <w:spacing w:after="200"/>
        <w:jc w:val="center"/>
      </w:pPr>
      <w:r>
        <w:rPr>
          <w:b/>
          <w:bCs/>
          <w:sz w:val="26"/>
          <w:szCs w:val="26"/>
        </w:rPr>
        <w:t xml:space="preserve">ARTICLES OF ASSOCIATION</w:t>
      </w:r>
    </w:p>
    <w:p>
      <w:pPr>
        <w:spacing w:after="300"/>
        <w:jc w:val="center"/>
      </w:pPr>
      <w:r>
        <w:rPr>
          <w:b/>
          <w:bCs/>
          <w:sz w:val="22"/>
          <w:szCs w:val="22"/>
        </w:rPr>
        <w:t xml:space="preserve">of VERDANT ENERGY SYSTEMS LIMITED</w:t>
      </w:r>
    </w:p>
    <w:p>
      <w:pPr>
        <w:spacing w:after="300"/>
        <w:jc w:val="center"/>
      </w:pPr>
      <w:r>
        <w:rPr>
          <w:i/>
          <w:iCs/>
          <w:sz w:val="18"/>
          <w:szCs w:val="18"/>
        </w:rPr>
        <w:t xml:space="preserve">(adopted by special resolution passed on [          ] 2026)</w:t>
      </w:r>
    </w:p>
    <w:p>
      <w:pPr>
        <w:pStyle w:val="Heading1"/>
      </w:pPr>
      <w:r>
        <w:t xml:space="preserve">1.   PRELIMINARY</w:t>
      </w:r>
    </w:p>
    <w:p>
      <w:pPr>
        <w:pStyle w:val="ListParagraph"/>
        <w:numPr>
          <w:ilvl w:val="0"/>
          <w:numId w:val="2"/>
        </w:numPr>
        <w:spacing w:after="120" w:line="276"/>
        <w:jc w:val="both"/>
      </w:pPr>
      <w:r>
        <w:t xml:space="preserve">The model articles for private companies limited by shares contained in Schedule 1 to the Companies (Model Articles) Regulations 2008 (the Model Articles) apply to the Company except in so far as they are modified or excluded by, or are inconsistent with, these Articles.</w:t>
      </w:r>
    </w:p>
    <w:p>
      <w:pPr>
        <w:pStyle w:val="ListParagraph"/>
        <w:numPr>
          <w:ilvl w:val="0"/>
          <w:numId w:val="2"/>
        </w:numPr>
        <w:spacing w:after="120" w:line="276"/>
        <w:jc w:val="both"/>
      </w:pPr>
      <w:r>
        <w:t xml:space="preserve">In these Articles, unless the context otherwise requires, words and expressions have the meanings given to them in the Subscription and Shareholders' Agreement dated 2026 (the Investment Agreement).</w:t>
      </w:r>
    </w:p>
    <w:p>
      <w:pPr>
        <w:pStyle w:val="Heading1"/>
      </w:pPr>
      <w:r>
        <w:t xml:space="preserve">2.   SHARE CAPITAL AND CLASSES</w:t>
      </w:r>
    </w:p>
    <w:p>
      <w:pPr>
        <w:pStyle w:val="ListParagraph"/>
        <w:numPr>
          <w:ilvl w:val="0"/>
          <w:numId w:val="2"/>
        </w:numPr>
        <w:spacing w:after="120" w:line="276"/>
        <w:jc w:val="both"/>
      </w:pPr>
      <w:r>
        <w:t xml:space="preserve">The share capital of the Company comprises Ordinary Shares of £0.0001 each, Series A Shares of £0.0001 each and Series B Shares of £0.0001 each, each having the rights and being subject to the restrictions set out in these Articles.</w:t>
      </w:r>
    </w:p>
    <w:p>
      <w:pPr>
        <w:pStyle w:val="ListParagraph"/>
        <w:numPr>
          <w:ilvl w:val="0"/>
          <w:numId w:val="2"/>
        </w:numPr>
        <w:spacing w:after="120" w:line="276"/>
        <w:jc w:val="both"/>
      </w:pPr>
      <w:r>
        <w:t xml:space="preserve">The Series B Shares rank ahead of the Series A Shares and the Ordinary Shares in respect of the return of capital on a Liquidation Event.</w:t>
      </w:r>
    </w:p>
    <w:p>
      <w:pPr>
        <w:pStyle w:val="Heading1"/>
      </w:pPr>
      <w:r>
        <w:t xml:space="preserve">3.   DIVIDENDS</w:t>
      </w:r>
    </w:p>
    <w:p>
      <w:pPr>
        <w:pStyle w:val="ListParagraph"/>
        <w:numPr>
          <w:ilvl w:val="0"/>
          <w:numId w:val="2"/>
        </w:numPr>
        <w:spacing w:after="120" w:line="276"/>
        <w:jc w:val="both"/>
      </w:pPr>
      <w:r>
        <w:t xml:space="preserve">No dividend or other distribution shall be declared or paid except as approved in accordance with the Investment Agreement and these Articles. Any dividend lawfully declared shall be distributed among the holders pro rata on an as-converted basis.</w:t>
      </w:r>
    </w:p>
    <w:p>
      <w:pPr>
        <w:pStyle w:val="Heading1"/>
      </w:pPr>
      <w:r>
        <w:t xml:space="preserve">4.   RETURN OF CAPITAL / LIQUIDATION PREFERENCE</w:t>
      </w:r>
    </w:p>
    <w:p>
      <w:pPr>
        <w:pStyle w:val="ListParagraph"/>
        <w:numPr>
          <w:ilvl w:val="0"/>
          <w:numId w:val="2"/>
        </w:numPr>
        <w:spacing w:after="120" w:line="276"/>
        <w:jc w:val="both"/>
      </w:pPr>
      <w:r>
        <w:t xml:space="preserve">On a Liquidation Event, the assets of the Company available for distribution shall be applied: first, in paying to the holders of Series B Shares an amount equal to the Subscription Price paid for those shares (the Series B Preference); second, in paying to the holders of Series A Shares the amount subscribed for those shares; and thereafter, the balance to the holders of all Shares pro rata on an as-converted basis.</w:t>
      </w:r>
    </w:p>
    <w:p>
      <w:pPr>
        <w:pStyle w:val="ListParagraph"/>
        <w:numPr>
          <w:ilvl w:val="0"/>
          <w:numId w:val="2"/>
        </w:numPr>
        <w:spacing w:after="120" w:line="276"/>
        <w:jc w:val="both"/>
      </w:pPr>
      <w:r>
        <w:t xml:space="preserve">If the assets are insufficient to pay the Series B Preference in full, they shall be distributed to the holders of Series B Shares pro rata to the amounts which would otherwise be payable.</w:t>
      </w:r>
    </w:p>
    <w:p>
      <w:pPr>
        <w:pStyle w:val="ListParagraph"/>
        <w:numPr>
          <w:ilvl w:val="0"/>
          <w:numId w:val="2"/>
        </w:numPr>
        <w:spacing w:after="120" w:line="276"/>
        <w:jc w:val="both"/>
      </w:pPr>
      <w:r>
        <w:t xml:space="preserve">A Liquidation Event includes a winding up, a Sale and an Asset Sale, save where the holders of a majority of the Series B Shares elect otherwise.</w:t>
      </w:r>
    </w:p>
    <w:p>
      <w:pPr>
        <w:pStyle w:val="Heading1"/>
      </w:pPr>
      <w:r>
        <w:t xml:space="preserve">5.   ANTI-DILUTION</w:t>
      </w:r>
    </w:p>
    <w:p>
      <w:pPr>
        <w:pStyle w:val="ListParagraph"/>
        <w:numPr>
          <w:ilvl w:val="0"/>
          <w:numId w:val="2"/>
        </w:numPr>
        <w:spacing w:after="120" w:line="276"/>
        <w:jc w:val="both"/>
      </w:pPr>
      <w:r>
        <w:t xml:space="preserve">If the Company allots Equity Securities at a Subscription Price per share which is less than the price paid for the Series B Shares, the rate at which the Series B Shares convert into Ordinary Shares shall be adjusted in accordance with a broad-based weighted-average formula set out in this Article 5.</w:t>
      </w:r>
    </w:p>
    <w:p>
      <w:pPr>
        <w:pStyle w:val="Heading1"/>
      </w:pPr>
      <w:r>
        <w:t xml:space="preserve">6.   CONVERSION</w:t>
      </w:r>
    </w:p>
    <w:p>
      <w:pPr>
        <w:pStyle w:val="ListParagraph"/>
        <w:numPr>
          <w:ilvl w:val="0"/>
          <w:numId w:val="2"/>
        </w:numPr>
        <w:spacing w:after="120" w:line="276"/>
        <w:jc w:val="both"/>
      </w:pPr>
      <w:r>
        <w:t xml:space="preserve">Each Series B Share shall convert into one Ordinary Share (subject to adjustment under Article 5): (a) at the option of the holder; and (b) automatically immediately before a Listing or as the holders of a majority of the Series B Shares may direct.</w:t>
      </w:r>
    </w:p>
    <w:p>
      <w:pPr>
        <w:pStyle w:val="Heading1"/>
      </w:pPr>
      <w:r>
        <w:t xml:space="preserve">7.   VOTING</w:t>
      </w:r>
    </w:p>
    <w:p>
      <w:pPr>
        <w:pStyle w:val="ListParagraph"/>
        <w:numPr>
          <w:ilvl w:val="0"/>
          <w:numId w:val="2"/>
        </w:numPr>
        <w:spacing w:after="120" w:line="276"/>
        <w:jc w:val="both"/>
      </w:pPr>
      <w:r>
        <w:t xml:space="preserve">Subject to any special rights or restrictions, on a show of hands every member present has one vote and on a poll every member has one vote for each share held. The Series B Shares carry the right to vote as if converted into Ordinary Shares.</w:t>
      </w:r>
    </w:p>
    <w:p>
      <w:pPr>
        <w:pStyle w:val="Heading1"/>
      </w:pPr>
      <w:r>
        <w:t xml:space="preserve">8.   TRANSFER, PRE-EMPTION, TAG AND DRAG</w:t>
      </w:r>
    </w:p>
    <w:p>
      <w:pPr>
        <w:pStyle w:val="ListParagraph"/>
        <w:numPr>
          <w:ilvl w:val="0"/>
          <w:numId w:val="2"/>
        </w:numPr>
        <w:spacing w:after="120" w:line="276"/>
        <w:jc w:val="both"/>
      </w:pPr>
      <w:r>
        <w:t xml:space="preserve">The provisions of the Investment Agreement relating to permitted transfers, pre-emption on transfers, rights of first refusal, co-sale (tag-along) and drag-along are incorporated into and given effect by these Articles, and any transfer made otherwise than in accordance with them shall not be registered.</w:t>
      </w:r>
    </w:p>
    <w:p>
      <w:pPr>
        <w:pStyle w:val="ListParagraph"/>
        <w:numPr>
          <w:ilvl w:val="0"/>
          <w:numId w:val="2"/>
        </w:numPr>
        <w:spacing w:after="120" w:line="276"/>
        <w:jc w:val="both"/>
      </w:pPr>
      <w:r>
        <w:t xml:space="preserve">The directors shall decline to register any transfer of a Share made in breach of the Investment Agreement or these Articles.</w:t>
      </w:r>
    </w:p>
    <w:p>
      <w:pPr>
        <w:pStyle w:val="Heading1"/>
      </w:pPr>
      <w:r>
        <w:t xml:space="preserve">9.   COMPULSORY TRANSFER (LEAVERS)</w:t>
      </w:r>
    </w:p>
    <w:p>
      <w:pPr>
        <w:pStyle w:val="ListParagraph"/>
        <w:numPr>
          <w:ilvl w:val="0"/>
          <w:numId w:val="2"/>
        </w:numPr>
        <w:spacing w:after="120" w:line="276"/>
        <w:jc w:val="both"/>
      </w:pPr>
      <w:r>
        <w:t xml:space="preserve">If a Founder becomes a Leaver, that Founder may be required to transfer such number of his or her Shares, at such price (Issue Price for a Bad Leaver and Fair Value for a Good Leaver) and to such persons, as is provided in this Article 9.</w:t>
      </w:r>
    </w:p>
    <w:p>
      <w:pPr>
        <w:pStyle w:val="Heading1"/>
      </w:pPr>
      <w:r>
        <w:t xml:space="preserve">10.   DIRECTORS AND PROCEEDINGS</w:t>
      </w:r>
    </w:p>
    <w:p>
      <w:pPr>
        <w:pStyle w:val="ListParagraph"/>
        <w:numPr>
          <w:ilvl w:val="0"/>
          <w:numId w:val="2"/>
        </w:numPr>
        <w:spacing w:after="120" w:line="276"/>
        <w:jc w:val="both"/>
      </w:pPr>
      <w:r>
        <w:t xml:space="preserve">The Lead Investor shall be entitled to appoint and remove the Investor Director and an observer in accordance with the Investment Agreement. The quorum and notice provisions for board meetings are as set out in the Investment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Verdant Energy Systems Limited — Articles of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2026-06-25T15:46:36.333Z</dcterms:created>
  <dcterms:modified xsi:type="dcterms:W3CDTF">2026-06-25T15:46:36.333Z</dcterms:modified>
</cp:coreProperties>
</file>

<file path=docProps/custom.xml><?xml version="1.0" encoding="utf-8"?>
<Properties xmlns="http://schemas.openxmlformats.org/officeDocument/2006/custom-properties" xmlns:vt="http://schemas.openxmlformats.org/officeDocument/2006/docPropsVTypes"/>
</file>