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VERDANT ENERGY SYSTEMS LIMITED</w:t>
      </w:r>
    </w:p>
    <w:p>
      <w:pPr>
        <w:spacing w:after="40"/>
        <w:jc w:val="center"/>
      </w:pPr>
      <w:r>
        <w:rPr>
          <w:sz w:val="18"/>
          <w:szCs w:val="18"/>
        </w:rPr>
        <w:t xml:space="preserve">(Company number 11874203) (the “Company”)</w:t>
      </w:r>
    </w:p>
    <w:p>
      <w:pPr>
        <w:spacing w:after="200"/>
        <w:jc w:val="center"/>
      </w:pPr>
      <w:r>
        <w:rPr>
          <w:b/>
          <w:bCs/>
          <w:sz w:val="20"/>
          <w:szCs w:val="20"/>
        </w:rPr>
        <w:t xml:space="preserve">MINUTES of a meeting of the board of directors</w:t>
      </w:r>
    </w:p>
    <w:p>
      <w:pPr>
        <w:spacing w:after="120" w:line="276"/>
        <w:jc w:val="left"/>
      </w:pPr>
      <w:r>
        <w:t xml:space="preserve">Held at: 1 Kingsway, London WC2B 6AN (and by video conference)</w:t>
      </w:r>
    </w:p>
    <w:p>
      <w:pPr>
        <w:spacing w:after="120" w:line="276"/>
        <w:jc w:val="left"/>
      </w:pPr>
      <w:r>
        <w:t xml:space="preserve">Date: [          ] 2026     Time: 10.00 a.m.</w:t>
      </w:r>
    </w:p>
    <w:p>
      <w:pPr>
        <w:spacing w:after="120" w:line="276"/>
        <w:jc w:val="left"/>
      </w:pPr>
      <w:r>
        <w:t xml:space="preserve">Present: Dr Helena Voss (Chair); Marcus Calder; Priya Anand (non-executive director); Eleanor Whitmore (proposed Investor Director, in attendance)</w:t>
      </w:r>
    </w:p>
    <w:p>
      <w:pPr>
        <w:spacing w:after="120" w:line="276"/>
        <w:jc w:val="left"/>
      </w:pPr>
      <w:r>
        <w:t xml:space="preserve">In attendance: Sofia Trevino (Company Secretary); James Osei (Whitfield Carter LLP)</w:t>
      </w:r>
    </w:p>
    <w:p>
      <w:pPr>
        <w:spacing w:after="60" w:before="120"/>
      </w:pPr>
      <w:r>
        <w:rPr>
          <w:b/>
          <w:bCs/>
        </w:rPr>
        <w:t xml:space="preserve">1.   QUORUM AND NOTICE</w:t>
      </w:r>
    </w:p>
    <w:p>
      <w:pPr>
        <w:spacing w:after="120" w:line="276"/>
        <w:jc w:val="left"/>
      </w:pPr>
      <w:r>
        <w:t xml:space="preserve">The Chair confirmed that due notice of the meeting had been given, that a quorum was present and that the meeting was properly constituted. Each director confirmed the nature and extent of any interest in the matters to be considered, which were noted and authorised in accordance with the articles.</w:t>
      </w:r>
    </w:p>
    <w:p>
      <w:pPr>
        <w:spacing w:after="60" w:before="120"/>
      </w:pPr>
      <w:r>
        <w:rPr>
          <w:b/>
          <w:bCs/>
        </w:rPr>
        <w:t xml:space="preserve">2.   PURPOSE — SERIES B FINANCING (PROJECT ONYX)</w:t>
      </w:r>
    </w:p>
    <w:p>
      <w:pPr>
        <w:spacing w:after="120" w:line="276"/>
        <w:jc w:val="left"/>
      </w:pPr>
      <w:r>
        <w:t xml:space="preserve">The Chair reported that the purpose of the meeting was to approve the Series B financing under which Calderbrook Growth Partners LLP and Ravensworth Ventures LLP would subscribe for an aggregate of 2,000,000 Series B Shares at £12.00 per share, raising £24,000,000 and valuing the Company at £96,000,000 post-money.</w:t>
      </w:r>
    </w:p>
    <w:p>
      <w:pPr>
        <w:spacing w:after="120" w:line="276"/>
        <w:jc w:val="left"/>
      </w:pPr>
      <w:r>
        <w:t xml:space="preserve">The board reviewed the Subscription and Shareholders' Agreement, the Investor Rights Agreement, the new Articles of Association, the Disclosure Letter and the disclosure bundle, the funds flow statement and the pre- and post-money capitalisation tables (the “Transaction Documents”).</w:t>
      </w:r>
    </w:p>
    <w:p>
      <w:pPr>
        <w:spacing w:after="60" w:before="120"/>
      </w:pPr>
      <w:r>
        <w:rPr>
          <w:b/>
          <w:bCs/>
        </w:rPr>
        <w:t xml:space="preserve">3.   APPROVAL OF TRANSACTION DOCUMENTS</w:t>
      </w:r>
    </w:p>
    <w:p>
      <w:pPr>
        <w:spacing w:after="120" w:line="276"/>
        <w:jc w:val="left"/>
      </w:pPr>
      <w:r>
        <w:t xml:space="preserve">IT WAS RESOLVED that the terms of each of the Transaction Documents be and are approved, and that any director or the Company Secretary be authorised to execute and deliver the same (as a deed where required) on behalf of the Company.</w:t>
      </w:r>
    </w:p>
    <w:p>
      <w:pPr>
        <w:spacing w:after="60" w:before="120"/>
      </w:pPr>
      <w:r>
        <w:rPr>
          <w:b/>
          <w:bCs/>
        </w:rPr>
        <w:t xml:space="preserve">4.   ALLOTMENT AND ISSUE OF SERIES B SHARES</w:t>
      </w:r>
    </w:p>
    <w:p>
      <w:pPr>
        <w:spacing w:after="120" w:line="276"/>
        <w:jc w:val="left"/>
      </w:pPr>
      <w:r>
        <w:t xml:space="preserve">IT WAS RESOLVED that, conditional on completion and receipt of the subscription monies, 1,500,000 Series B Shares be allotted and issued to Calderbrook Growth Partners LLP and 500,000 Series B Shares be allotted and issued to Ravensworth Ventures LLP, each credited as fully paid, and that the directors be authorised to allot the same under section 550 of the Companies Act 2006.</w:t>
      </w:r>
    </w:p>
    <w:p>
      <w:pPr>
        <w:spacing w:after="60" w:before="120"/>
      </w:pPr>
      <w:r>
        <w:rPr>
          <w:b/>
          <w:bCs/>
        </w:rPr>
        <w:t xml:space="preserve">5.   ADOPTION OF NEW ARTICLES AND SHAREHOLDER RESOLUTIONS</w:t>
      </w:r>
    </w:p>
    <w:p>
      <w:pPr>
        <w:spacing w:after="120" w:line="276"/>
        <w:jc w:val="left"/>
      </w:pPr>
      <w:r>
        <w:t xml:space="preserve">The board noted that the adoption of the new Articles and the disapplication of statutory pre-emption rights required shareholder approval, and RESOLVED to recommend the written resolutions to the shareholders and to convene the same.</w:t>
      </w:r>
    </w:p>
    <w:p>
      <w:pPr>
        <w:spacing w:after="60" w:before="120"/>
      </w:pPr>
      <w:r>
        <w:rPr>
          <w:b/>
          <w:bCs/>
        </w:rPr>
        <w:t xml:space="preserve">6.   INVESTOR DIRECTOR AND PSC</w:t>
      </w:r>
    </w:p>
    <w:p>
      <w:pPr>
        <w:spacing w:after="120" w:line="276"/>
        <w:jc w:val="left"/>
      </w:pPr>
      <w:r>
        <w:t xml:space="preserve">IT WAS RESOLVED that, with effect from completion, Eleanor Whitmore be appointed as a non-executive director (Investor Director), and that the Company's PSC register and Companies House filings be updated accordingly.</w:t>
      </w:r>
    </w:p>
    <w:p>
      <w:pPr>
        <w:spacing w:after="60" w:before="120"/>
      </w:pPr>
      <w:r>
        <w:rPr>
          <w:b/>
          <w:bCs/>
        </w:rPr>
        <w:t xml:space="preserve">7.   ANCILLARY MATTERS</w:t>
      </w:r>
    </w:p>
    <w:p>
      <w:pPr>
        <w:spacing w:after="120" w:line="276"/>
        <w:jc w:val="left"/>
      </w:pPr>
      <w:r>
        <w:t xml:space="preserve">The board authorised the filing of all forms at Companies House (including SH01 and the relevant resolutions), the update of the register of members and the issue of share certificates, and the payment of the agreed transaction costs in accordance with the funds flow.</w:t>
      </w:r>
    </w:p>
    <w:p>
      <w:pPr>
        <w:spacing w:after="60" w:before="120"/>
      </w:pPr>
      <w:r>
        <w:rPr>
          <w:b/>
          <w:bCs/>
        </w:rPr>
        <w:t xml:space="preserve">8.   CLOSE</w:t>
      </w:r>
    </w:p>
    <w:p>
      <w:pPr>
        <w:spacing w:after="120" w:line="276"/>
        <w:jc w:val="left"/>
      </w:pPr>
      <w:r>
        <w:t xml:space="preserve">There being no further business, the Chair declared the meeting closed.</w:t>
      </w:r>
    </w:p>
    <w:p>
      <w:pPr>
        <w:spacing w:before="300"/>
      </w:pPr>
      <w:r>
        <w:t xml:space="preserve">..................................................</w:t>
      </w:r>
    </w:p>
    <w:p>
      <w:pPr>
        <w:spacing w:after="120" w:line="276"/>
        <w:jc w:val="left"/>
      </w:pPr>
      <w:r>
        <w:t xml:space="preserve">Dr Helena Voss — Chair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777777"/>
        <w:sz w:val="15"/>
        <w:szCs w:val="15"/>
      </w:rPr>
      <w:t xml:space="preserve">Strictly private and confidential</w:t>
    </w:r>
    <w:r>
      <w:rPr>
        <w:sz w:val="15"/>
        <w:szCs w:val="15"/>
      </w:rPr>
      <w:t xml:space="preserve">	</w:t>
    </w:r>
    <w:r>
      <w:rPr>
        <w:color w:val="7777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777777"/>
        <w:sz w:val="16"/>
        <w:szCs w:val="16"/>
      </w:rPr>
      <w:t xml:space="preserve">Verdant Energy Systems Limited — Board Minutes (Series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560"/>
      </w:pPr>
    </w:lvl>
    <w:lvl w:ilvl="1" w15:tentative="1">
      <w:start w:val="1"/>
      <w:numFmt w:val="lowerLetter"/>
      <w:lvlText w:val="(%2)"/>
      <w:lvlJc w:val="left"/>
      <w:pPr>
        <w:ind w:left="1120" w:hanging="560"/>
      </w:pPr>
    </w:lvl>
    <w:lvl w:ilvl="2" w15:tentative="1">
      <w:start w:val="1"/>
      <w:numFmt w:val="lowerRoman"/>
      <w:lvlText w:val="(%3)"/>
      <w:lvlJc w:val="left"/>
      <w:pPr>
        <w:ind w:left="1680" w:hanging="56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2026-06-25T15:46:36.350Z</dcterms:created>
  <dcterms:modified xsi:type="dcterms:W3CDTF">2026-06-25T15:46:36.350Z</dcterms:modified>
</cp:coreProperties>
</file>

<file path=docProps/custom.xml><?xml version="1.0" encoding="utf-8"?>
<Properties xmlns="http://schemas.openxmlformats.org/officeDocument/2006/custom-properties" xmlns:vt="http://schemas.openxmlformats.org/officeDocument/2006/docPropsVTypes"/>
</file>