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right"/>
      </w:pPr>
      <w:r>
        <w:rPr>
          <w:b/>
          <w:bCs/>
        </w:rPr>
        <w:t xml:space="preserve">Claim No. HT-2026-000087</w:t>
      </w:r>
    </w:p>
    <w:p>
      <w:pPr>
        <w:spacing w:after="20" w:line="276"/>
      </w:pPr>
      <w:r>
        <w:rPr>
          <w:b/>
          <w:bCs/>
        </w:rPr>
        <w:t xml:space="preserve">IN THE HIGH COURT OF JUSTICE</w:t>
      </w:r>
    </w:p>
    <w:p>
      <w:pPr>
        <w:spacing w:after="20" w:line="276"/>
      </w:pPr>
      <w:r>
        <w:rPr>
          <w:b/>
          <w:bCs/>
        </w:rPr>
        <w:t xml:space="preserve">BUSINESS AND PROPERTY COURTS OF ENGLAND AND WALES</w:t>
      </w:r>
    </w:p>
    <w:p>
      <w:pPr>
        <w:spacing w:after="160" w:line="276"/>
      </w:pPr>
      <w:r>
        <w:rPr>
          <w:b/>
          <w:bCs/>
        </w:rPr>
        <w:t xml:space="preserve">TECHNOLOGY AND CONSTRUCTION COURT (KBD)</w:t>
      </w:r>
    </w:p>
    <w:p>
      <w:pPr>
        <w:spacing w:after="80" w:line="276"/>
      </w:pPr>
      <w:r>
        <w:t xml:space="preserve">BETWEEN:</w:t>
      </w:r>
    </w:p>
    <w:p>
      <w:pPr>
        <w:spacing w:after="10" w:line="276"/>
        <w:jc w:val="center"/>
      </w:pPr>
      <w:r>
        <w:rPr>
          <w:b/>
          <w:bCs/>
        </w:rPr>
        <w:t xml:space="preserve">VERDANT ENERGY SYSTEMS LIMITED</w:t>
      </w:r>
    </w:p>
    <w:p>
      <w:pPr>
        <w:spacing w:after="10" w:line="276"/>
        <w:jc w:val="right"/>
      </w:pPr>
      <w:r>
        <w:rPr>
          <w:i/>
          <w:iCs/>
        </w:rPr>
        <w:t xml:space="preserve">Claimant</w:t>
      </w:r>
    </w:p>
    <w:p>
      <w:pPr>
        <w:spacing w:after="10" w:line="276"/>
        <w:jc w:val="center"/>
      </w:pPr>
      <w:r>
        <w:t xml:space="preserve">- and -</w:t>
      </w:r>
    </w:p>
    <w:p>
      <w:pPr>
        <w:spacing w:after="10" w:line="276"/>
        <w:jc w:val="center"/>
      </w:pPr>
      <w:r>
        <w:rPr>
          <w:b/>
          <w:bCs/>
        </w:rPr>
        <w:t xml:space="preserve">CALDERHALL CELLS LIMITED</w:t>
      </w:r>
    </w:p>
    <w:p>
      <w:pPr>
        <w:spacing w:after="160" w:line="276"/>
        <w:jc w:val="right"/>
      </w:pPr>
      <w:r>
        <w:rPr>
          <w:i/>
          <w:iCs/>
        </w:rPr>
        <w:t xml:space="preserve">Defendant</w:t>
      </w:r>
    </w:p>
    <w:p>
      <w:pPr>
        <w:spacing w:after="160" w:line="276"/>
        <w:jc w:val="center"/>
      </w:pPr>
      <w:r>
        <w:rPr>
          <w:b/>
          <w:bCs/>
        </w:rPr>
        <w:t xml:space="preserve">FIRST WITNESS STATEMENT OF MARCUS CALDER</w:t>
      </w:r>
    </w:p>
    <w:p>
      <w:pPr>
        <w:spacing w:after="160" w:line="276"/>
      </w:pPr>
      <w:r>
        <w:t xml:space="preserve">I, </w:t>
      </w:r>
      <w:r>
        <w:rPr>
          <w:b/>
          <w:bCs/>
        </w:rPr>
        <w:t xml:space="preserve">MARCUS CALDER</w:t>
      </w:r>
      <w:r>
        <w:t xml:space="preserve">, of Verdant House, 8 Cumberland Place, Manchester M1 4BD, WILL SAY as follows:</w:t>
      </w:r>
    </w:p>
    <w:p>
      <w:pPr>
        <w:pStyle w:val="Heading2"/>
      </w:pPr>
      <w:r>
        <w:t xml:space="preserve">Introduction</w:t>
      </w:r>
    </w:p>
    <w:p>
      <w:pPr>
        <w:spacing w:after="140" w:line="276"/>
        <w:ind w:left="567" w:hanging="567"/>
      </w:pPr>
      <w:r>
        <w:t xml:space="preserve">1.	</w:t>
      </w:r>
      <w:r>
        <w:t xml:space="preserve">I am the co-founder and Chief Technology Officer of the Claimant, Verdant Energy Systems Limited (“Verdant”). I have held that position since Verdant was founded in 2018. I am a chartered electrical engineer with over 20 years’ experience in power electronics and battery-storage system integration. I am authorised by Verdant to make this statement on its behalf.</w:t>
      </w:r>
    </w:p>
    <w:p>
      <w:pPr>
        <w:spacing w:after="140" w:line="276"/>
        <w:ind w:left="567" w:hanging="567"/>
      </w:pPr>
      <w:r>
        <w:t xml:space="preserve">2.	</w:t>
      </w:r>
      <w:r>
        <w:t xml:space="preserve">The facts set out in this statement are within my own knowledge unless I state otherwise, in which case I give the source of my information and believe it to be true. There is now produced and shown to me a paginated bundle of documents marked “MC1” to which I refer by page number in the form [MC1/x].</w:t>
      </w:r>
    </w:p>
    <w:p>
      <w:pPr>
        <w:spacing w:after="140" w:line="276"/>
        <w:ind w:left="567" w:hanging="567"/>
      </w:pPr>
      <w:r>
        <w:t xml:space="preserve">3.	</w:t>
      </w:r>
      <w:r>
        <w:t xml:space="preserve">I make this statement in support of Verdant’s claim against Calderhall Cells Limited (“Calderhall”) arising out of the supply of defective lithium iron phosphate battery cells for Verdant’s 50 MW / 100 MWh energy-storage facility at Brackmoor Lane, Goole (the “Brackmoor Project”).</w:t>
      </w:r>
    </w:p>
    <w:p>
      <w:pPr>
        <w:pStyle w:val="Heading2"/>
      </w:pPr>
      <w:r>
        <w:t xml:space="preserve">The procurement of the cells</w:t>
      </w:r>
    </w:p>
    <w:p>
      <w:pPr>
        <w:spacing w:after="140" w:line="276"/>
        <w:ind w:left="567" w:hanging="567"/>
      </w:pPr>
      <w:r>
        <w:t xml:space="preserve">4.	</w:t>
      </w:r>
      <w:r>
        <w:t xml:space="preserve">In early 2024 Verdant ran a competitive procurement for the battery cells for the Brackmoor Project. Calderhall was shortlisted and, following technical qualification of sample cells, was selected. I led the technical evaluation. I made clear to Calderhall’s engineering team, both in a qualification workshop on 18 March 2024 and in subsequent correspondence, that the cells were required for a utility-scale facility with a contractual energisation deadline and availability-based revenue, and that latent cell defects would have serious downstream consequences.</w:t>
      </w:r>
    </w:p>
    <w:p>
      <w:pPr>
        <w:spacing w:after="140" w:line="276"/>
        <w:ind w:left="567" w:hanging="567"/>
      </w:pPr>
      <w:r>
        <w:t xml:space="preserve">5.	</w:t>
      </w:r>
      <w:r>
        <w:t xml:space="preserve">The Cell Supply Agreement was signed on 22 May 2024. It provided for three module strings, each of 6,720 cells, at £980,000 per string. The technical specification at Schedule 1 required, among other things, a beginning-of-life capacity of not less than 280 Ah and capacity retention of not less than 95% after 500 cycles.</w:t>
      </w:r>
    </w:p>
    <w:p>
      <w:pPr>
        <w:pStyle w:val="Heading2"/>
      </w:pPr>
      <w:r>
        <w:t xml:space="preserve">Delivery and the start of commissioning</w:t>
      </w:r>
    </w:p>
    <w:p>
      <w:pPr>
        <w:spacing w:after="140" w:line="276"/>
        <w:ind w:left="567" w:hanging="567"/>
      </w:pPr>
      <w:r>
        <w:t xml:space="preserve">6.	</w:t>
      </w:r>
      <w:r>
        <w:t xml:space="preserve">Calderhall delivered String A on 19 August 2024, String B on 9 September 2024 and String C on 26 September 2024. Verdant paid the full price of £2,940,000, the final payment being made on 14 October 2024. My team installed the strings and integrated them with the power-conversion and control systems. Pre-energisation acceptance tests on Strings A and B passed. Commissioning began on 4 November 2024.</w:t>
      </w:r>
    </w:p>
    <w:p>
      <w:pPr>
        <w:pStyle w:val="Heading2"/>
      </w:pPr>
      <w:r>
        <w:t xml:space="preserve">Discovery of the defects</w:t>
      </w:r>
    </w:p>
    <w:p>
      <w:pPr>
        <w:spacing w:after="140" w:line="276"/>
        <w:ind w:left="567" w:hanging="567"/>
      </w:pPr>
      <w:r>
        <w:t xml:space="preserve">7.	</w:t>
      </w:r>
      <w:r>
        <w:t xml:space="preserve">During capacity-characterisation testing between 11 and 22 November 2024, String B behaved abnormally. Nine of its 28 modules lost usable capacity rapidly, falling below 88% of nameplate within the first 40 equivalent cycles. We saw cell-to-cell voltage divergence well beyond the 30 mV tolerance, and the battery-management system flagged localised heating in three modules, two of which tripped the thermal-protection interlocks. As a responsible operator we could not energise a string showing those characteristics; the thermal behaviour in particular presented an unacceptable safety risk.</w:t>
      </w:r>
    </w:p>
    <w:p>
      <w:pPr>
        <w:spacing w:after="140" w:line="276"/>
        <w:ind w:left="567" w:hanging="567"/>
      </w:pPr>
      <w:r>
        <w:t xml:space="preserve">8.	</w:t>
      </w:r>
      <w:r>
        <w:t xml:space="preserve">I made the decision to suspend commissioning of String B on 22 November 2024. We notified Calderhall in writing on 25 November 2024 and held a joint inspection on site on 3 December 2024. Calderhall’s representatives accepted that the behaviour was abnormal but maintained that it must have arisen from Verdant’s integration. I did not and do not accept that. Strings A and B had been installed and tested in the same way, by the same team, using the same equipment.</w:t>
      </w:r>
    </w:p>
    <w:p>
      <w:pPr>
        <w:spacing w:after="140" w:line="276"/>
        <w:ind w:left="567" w:hanging="567"/>
      </w:pPr>
      <w:r>
        <w:t xml:space="preserve">9.	</w:t>
      </w:r>
      <w:r>
        <w:t xml:space="preserve">Verdant instructed Wraysbury Materials Laboratory to investigate. Their report of 24 January 2025 found cathode-coating delamination, inconsistent electrode loading, particulate contamination of the separator and evidence of lithium plating – all manufacturing defects. Because these cells came from the same production campaign as Strings A and C, I took the decision that we could not energise Strings A and C until they had been screened and accelerated-age tested, which further delayed the facility.</w:t>
      </w:r>
    </w:p>
    <w:p>
      <w:pPr>
        <w:pStyle w:val="Heading2"/>
      </w:pPr>
      <w:r>
        <w:t xml:space="preserve">Consequences for the Brackmoor Project</w:t>
      </w:r>
    </w:p>
    <w:p>
      <w:pPr>
        <w:spacing w:after="140" w:line="276"/>
        <w:ind w:left="567" w:hanging="567"/>
      </w:pPr>
      <w:r>
        <w:t xml:space="preserve">10.	</w:t>
      </w:r>
      <w:r>
        <w:t xml:space="preserve">The contractual energisation date for the facility was 13 December 2024. As a result of the matters above, energisation was delayed by approximately 8 weeks. Verdant had to procure replacement cells from an alternative supplier, remove and reinstall the affected modules, and pay liquidated damages of £640,000 to its EPC counterparty, Halloway Renewables Limited, under the downstream engineering, procurement and construction contract for late energisation. Verdant also lost availability revenue during the delay. The full financial consequences are set out in the Schedule of Loss.</w:t>
      </w:r>
    </w:p>
    <w:p>
      <w:pPr>
        <w:spacing w:after="140" w:line="276"/>
        <w:ind w:left="567" w:hanging="567"/>
      </w:pPr>
      <w:r>
        <w:t xml:space="preserve">11.	</w:t>
      </w:r>
      <w:r>
        <w:t xml:space="preserve">Throughout, my team acted to limit the delay and cost, including by re-sequencing the commissioning programme to bring Strings A and C into service as soon as their integrity was confirmed. I believe Verdant behaved reasonably and responsibly at every stage.</w:t>
      </w:r>
    </w:p>
    <w:p>
      <w:pPr>
        <w:spacing w:after="120" w:before="320"/>
      </w:pPr>
      <w:r>
        <w:rPr>
          <w:b/>
          <w:bCs/>
        </w:rPr>
        <w:t xml:space="preserve">Statement of Truth</w:t>
      </w:r>
    </w:p>
    <w:p>
      <w:pPr>
        <w:spacing w:after="200" w:line="276"/>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after="40" w:line="276"/>
      </w:pPr>
      <w:r>
        <w:t xml:space="preserve">Signed: ......................................................</w:t>
      </w:r>
    </w:p>
    <w:p>
      <w:pPr>
        <w:spacing w:after="20" w:line="276"/>
      </w:pPr>
      <w:r>
        <w:rPr>
          <w:b/>
          <w:bCs/>
        </w:rPr>
        <w:t xml:space="preserve">MARCUS CALDER</w:t>
      </w:r>
    </w:p>
    <w:p>
      <w:pPr>
        <w:spacing w:after="120" w:line="276"/>
      </w:pPr>
      <w:r>
        <w:t xml:space="preserve">Dated: 3 November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6"/>
      </w:pBdr>
      <w:spacing w:before="60"/>
    </w:pPr>
    <w:r>
      <w:rPr>
        <w:color w:val="666666"/>
        <w:sz w:val="14"/>
        <w:szCs w:val="14"/>
      </w:rPr>
      <w:t xml:space="preserve">Whitfield Carter LLP  |  22 Bishopsgate, London EC2N 4BQ  |  Confidential and may be legally privileged.</w:t>
    </w:r>
  </w:p>
  <w:p>
    <w:pPr>
      <w:jc w:val="right"/>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2026-06-25T20:53:12.854Z</dcterms:created>
  <dcterms:modified xsi:type="dcterms:W3CDTF">2026-06-25T20:53:12.854Z</dcterms:modified>
</cp:coreProperties>
</file>

<file path=docProps/custom.xml><?xml version="1.0" encoding="utf-8"?>
<Properties xmlns="http://schemas.openxmlformats.org/officeDocument/2006/custom-properties" xmlns:vt="http://schemas.openxmlformats.org/officeDocument/2006/docPropsVTypes"/>
</file>