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line="276"/>
      </w:pPr>
      <w:r>
        <w:rPr>
          <w:b/>
          <w:bCs/>
        </w:rPr>
        <w:t xml:space="preserve">Renton Maddox LLP</w:t>
      </w:r>
    </w:p>
    <w:p>
      <w:pPr>
        <w:spacing w:after="10" w:line="276"/>
      </w:pPr>
      <w:r>
        <w:t xml:space="preserve">FAO Eleanor Renton</w:t>
      </w:r>
    </w:p>
    <w:p>
      <w:pPr>
        <w:spacing w:after="10" w:line="276"/>
      </w:pPr>
      <w:r>
        <w:t xml:space="preserve">4 Cloth Court, London EC1A 7LS</w:t>
      </w:r>
    </w:p>
    <w:p>
      <w:pPr>
        <w:spacing w:after="120" w:line="276"/>
      </w:pPr>
      <w:r>
        <w:t xml:space="preserve">By email: eleanor.renton@rentonmaddox.com</w:t>
      </w:r>
    </w:p>
    <w:p>
      <w:pPr>
        <w:spacing w:after="10" w:line="276"/>
      </w:pPr>
      <w:r>
        <w:t xml:space="preserve">Our ref: </w:t>
      </w:r>
      <w:r>
        <w:rPr>
          <w:b/>
          <w:bCs/>
        </w:rPr>
        <w:t xml:space="preserve">SW/EM/VES-0125</w:t>
      </w:r>
      <w:r>
        <w:t xml:space="preserve">      Your ref: ER/SB/CAL-2210</w:t>
      </w:r>
    </w:p>
    <w:p>
      <w:pPr>
        <w:spacing w:after="120" w:line="276"/>
      </w:pPr>
      <w:r>
        <w:t xml:space="preserve">Dated: 24 September 2025</w:t>
      </w:r>
    </w:p>
    <w:p>
      <w:pPr>
        <w:spacing w:after="120" w:line="276"/>
      </w:pPr>
      <w:r>
        <w:t xml:space="preserve">Dear Sirs</w:t>
      </w:r>
    </w:p>
    <w:p>
      <w:pPr>
        <w:spacing w:after="120" w:line="276"/>
      </w:pPr>
      <w:r>
        <w:rPr>
          <w:b/>
          <w:bCs/>
        </w:rPr>
        <w:t xml:space="preserve">Verdant Energy Systems Limited v Calderhall Cells Limited — Claim No. HT-2026-000087</w:t>
      </w:r>
    </w:p>
    <w:p>
      <w:pPr>
        <w:spacing w:after="120" w:line="276"/>
      </w:pPr>
      <w:r>
        <w:t xml:space="preserve">We write in advance of the case management conference listed for 8 October 2025 to seek to agree directions to trial and to narrow the issues between the parties.</w:t>
      </w:r>
    </w:p>
    <w:p>
      <w:pPr>
        <w:pStyle w:val="Heading2"/>
      </w:pPr>
      <w:r>
        <w:t xml:space="preserve">1. Disclosure</w:t>
      </w:r>
    </w:p>
    <w:p>
      <w:pPr>
        <w:spacing w:after="120" w:line="276"/>
      </w:pPr>
      <w:r>
        <w:t xml:space="preserve">We propose Extended Disclosure under Model C in respect of the following issues for disclosure: (i) Calderhall’s manufacturing, in-process quality and batch-release records for the production campaign from which Strings A, B and C were drawn; (ii) Calderhall’s root-cause investigation (if any) into the matters notified on 25 November 2024; and (iii) documents relating to Calderhall’s knowledge of the intended use of the cells and the Brackmoor Project’s energisation deadline. Our proposed Disclosure Review Document is enclosed in draft.</w:t>
      </w:r>
    </w:p>
    <w:p>
      <w:pPr>
        <w:pStyle w:val="Heading2"/>
      </w:pPr>
      <w:r>
        <w:t xml:space="preserve">2. Expert evidence</w:t>
      </w:r>
    </w:p>
    <w:p>
      <w:pPr>
        <w:spacing w:after="120" w:line="276"/>
      </w:pPr>
      <w:r>
        <w:t xml:space="preserve">This is a case in which the court will be assisted by expert evidence in the field of battery-cell electrochemistry and failure analysis. We propose that each party have permission to rely on one expert in that discipline, with reports exchanged sequentially (claimant first), followed by a without-prejudice experts’ discussion and a joint statement under CPR 35.12. We do not consider that a single joint expert is appropriate given the technical complexity and the sums at stake.</w:t>
      </w:r>
    </w:p>
    <w:p>
      <w:pPr>
        <w:pStyle w:val="Heading2"/>
      </w:pPr>
      <w:r>
        <w:t xml:space="preserve">3. Witnesses of fact</w:t>
      </w:r>
    </w:p>
    <w:p>
      <w:pPr>
        <w:spacing w:after="120" w:line="276"/>
      </w:pPr>
      <w:r>
        <w:t xml:space="preserve">The Claimant presently intends to call two witnesses of fact (Mr Marcus Calder and Mr Tom Pryce). We invite you to confirm the Defendant’s witnesses so that an appropriate timetable for exchange can be fixed.</w:t>
      </w:r>
    </w:p>
    <w:p>
      <w:pPr>
        <w:pStyle w:val="Heading2"/>
      </w:pPr>
      <w:r>
        <w:t xml:space="preserve">4. Trial</w:t>
      </w:r>
    </w:p>
    <w:p>
      <w:pPr>
        <w:spacing w:after="120" w:line="276"/>
      </w:pPr>
      <w:r>
        <w:t xml:space="preserve">We estimate a trial length of 5 days, including reading. Given the technical subject-matter we agree that the matter is suitable for the Technology and Construction Court. We would invite the court to fix a trial window in the second quarter of 2027.</w:t>
      </w:r>
    </w:p>
    <w:p>
      <w:pPr>
        <w:pStyle w:val="Heading2"/>
      </w:pPr>
      <w:r>
        <w:t xml:space="preserve">5. Liability cap and exclusion of consequential loss</w:t>
      </w:r>
    </w:p>
    <w:p>
      <w:pPr>
        <w:spacing w:after="120" w:line="276"/>
      </w:pPr>
      <w:r>
        <w:t xml:space="preserve">We note that the Defence raises clause 11 of the Supply Agreement (limitation of liability) and the exclusion of “consequential” or “indirect” loss. The Claimant’s position, which it will develop at the CMC and at trial, is that the liquidated damages it became liable to pay to its EPC counterparty and its lost availability revenue are direct losses falling within the first limb of Hadley v Baxendale and are not excluded on the proper construction of clause 11, and further that clause 11 does not satisfy the requirement of reasonableness under the Unfair Contract Terms Act 1977 insofar as it purports to exclude liability for defective goods. We invite the Defendant to confirm whether the reasonableness of clause 11 is to be tried as a preliminary issue or with all issues at trial.</w:t>
      </w:r>
    </w:p>
    <w:p>
      <w:pPr>
        <w:spacing w:after="120" w:line="276"/>
      </w:pPr>
      <w:r>
        <w:t xml:space="preserve">We look forward to hearing from you in advance of the CMC so that a draft order can, so far as possible, be agreed.</w:t>
      </w:r>
    </w:p>
    <w:p>
      <w:pPr>
        <w:spacing w:after="200" w:line="276"/>
      </w:pPr>
      <w:r>
        <w:t xml:space="preserve">Yours faithfully</w:t>
      </w:r>
    </w:p>
    <w:p>
      <w:pPr>
        <w:spacing w:after="0" w:line="276"/>
      </w:pPr>
      <w:r>
        <w:rPr>
          <w:b/>
          <w:bCs/>
        </w:rPr>
        <w:t xml:space="preserve">Whitfield Carter LLP</w:t>
      </w:r>
    </w:p>
    <w:p>
      <w:pPr>
        <w:spacing w:after="120" w:line="276"/>
      </w:pPr>
      <w:r>
        <w:rPr>
          <w:sz w:val="18"/>
          <w:szCs w:val="18"/>
        </w:rPr>
        <w:t xml:space="preserve">Enc: draft Disclosure Review Document; draft directions order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6"/>
      </w:pBdr>
      <w:spacing w:before="60"/>
    </w:pPr>
    <w:r>
      <w:rPr>
        <w:color w:val="666666"/>
        <w:sz w:val="14"/>
        <w:szCs w:val="14"/>
      </w:rPr>
      <w:t xml:space="preserve">Whitfield Carter LLP  |  22 Bishopsgate, London EC2N 4BQ  |  Confidential and may be legally privileged.</w:t>
    </w:r>
  </w:p>
  <w:p>
    <w:pPr>
      <w:jc w:val="right"/>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30"/>
        <w:szCs w:val="30"/>
      </w:rPr>
      <w:t xml:space="preserve">WHITFIELD CARTER LLP</w:t>
    </w:r>
  </w:p>
  <w:p>
    <w:pPr>
      <w:spacing w:after="40"/>
    </w:pPr>
    <w:r>
      <w:rPr>
        <w:color w:val="1F3864"/>
        <w:sz w:val="18"/>
        <w:szCs w:val="18"/>
      </w:rPr>
      <w:t xml:space="preserve">Solicitors</w:t>
    </w:r>
  </w:p>
  <w:p>
    <w:pPr>
      <w:pBdr>
        <w:bottom w:val="single" w:color="1F3864" w:sz="8" w:space="2"/>
      </w:pBdr>
      <w:spacing w:after="120"/>
    </w:pPr>
    <w:r>
      <w:rPr>
        <w:color w:val="666666"/>
        <w:sz w:val="16"/>
        <w:szCs w:val="16"/>
      </w:rPr>
      <w:t xml:space="preserve">22 Bishopsgate, London EC2N 4BQ  ·  DX 123 London  ·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2026-06-25T20:53:12.880Z</dcterms:created>
  <dcterms:modified xsi:type="dcterms:W3CDTF">2026-06-25T20:53:12.880Z</dcterms:modified>
</cp:coreProperties>
</file>

<file path=docProps/custom.xml><?xml version="1.0" encoding="utf-8"?>
<Properties xmlns="http://schemas.openxmlformats.org/officeDocument/2006/custom-properties" xmlns:vt="http://schemas.openxmlformats.org/officeDocument/2006/docPropsVTypes"/>
</file>